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B3F46" w14:textId="77777777" w:rsidR="00CA44B1" w:rsidRDefault="00CA44B1" w:rsidP="00CA44B1">
      <w:pPr>
        <w:pStyle w:val="Logos"/>
        <w:tabs>
          <w:tab w:val="right" w:pos="9498"/>
        </w:tabs>
      </w:pPr>
      <w:r>
        <w:drawing>
          <wp:inline distT="0" distB="0" distL="0" distR="0" wp14:anchorId="39ABC035" wp14:editId="0CF97AB0">
            <wp:extent cx="1341755" cy="1080770"/>
            <wp:effectExtent l="0" t="0" r="0" b="0"/>
            <wp:docPr id="22" name="Picture 22" descr="Department for Education" title="Logo"/>
            <wp:cNvGraphicFramePr/>
            <a:graphic xmlns:a="http://schemas.openxmlformats.org/drawingml/2006/main">
              <a:graphicData uri="http://schemas.openxmlformats.org/drawingml/2006/picture">
                <pic:pic xmlns:pic="http://schemas.openxmlformats.org/drawingml/2006/picture">
                  <pic:nvPicPr>
                    <pic:cNvPr id="22" name="Picture 22" descr="Department for Education" title="Logo"/>
                    <pic:cNvPicPr/>
                  </pic:nvPicPr>
                  <pic:blipFill rotWithShape="1">
                    <a:blip r:embed="rId8" cstate="print">
                      <a:extLst>
                        <a:ext uri="{28A0092B-C50C-407E-A947-70E740481C1C}">
                          <a14:useLocalDpi xmlns:a14="http://schemas.microsoft.com/office/drawing/2010/main" val="0"/>
                        </a:ext>
                      </a:extLst>
                    </a:blip>
                    <a:srcRect r="38062"/>
                    <a:stretch/>
                  </pic:blipFill>
                  <pic:spPr bwMode="auto">
                    <a:xfrm>
                      <a:off x="0" y="0"/>
                      <a:ext cx="1344930" cy="1075690"/>
                    </a:xfrm>
                    <a:prstGeom prst="rect">
                      <a:avLst/>
                    </a:prstGeom>
                    <a:ln>
                      <a:noFill/>
                    </a:ln>
                    <a:extLst>
                      <a:ext uri="{53640926-AAD7-44D8-BBD7-CCE9431645EC}">
                        <a14:shadowObscured xmlns:a14="http://schemas.microsoft.com/office/drawing/2010/main"/>
                      </a:ext>
                    </a:extLst>
                  </pic:spPr>
                </pic:pic>
              </a:graphicData>
            </a:graphic>
          </wp:inline>
        </w:drawing>
      </w:r>
    </w:p>
    <w:p w14:paraId="7C172B5B" w14:textId="77777777" w:rsidR="00CA44B1" w:rsidRDefault="00CA44B1" w:rsidP="00CA44B1"/>
    <w:p w14:paraId="1FE7347A" w14:textId="4C5CDDFA" w:rsidR="00CA44B1" w:rsidRPr="005420E4" w:rsidRDefault="00CA44B1" w:rsidP="00CA44B1">
      <w:pPr>
        <w:keepNext/>
        <w:spacing w:line="288" w:lineRule="auto"/>
        <w:rPr>
          <w:rFonts w:ascii="Arial" w:hAnsi="Arial" w:cs="Arial"/>
          <w:b/>
          <w:bCs/>
          <w:color w:val="104F75"/>
          <w:sz w:val="40"/>
          <w:szCs w:val="40"/>
        </w:rPr>
      </w:pPr>
      <w:r w:rsidRPr="005420E4">
        <w:rPr>
          <w:rFonts w:ascii="Arial" w:hAnsi="Arial" w:cs="Arial"/>
          <w:b/>
          <w:bCs/>
          <w:color w:val="104F75"/>
          <w:sz w:val="40"/>
          <w:szCs w:val="40"/>
        </w:rPr>
        <w:t xml:space="preserve">Document </w:t>
      </w:r>
      <w:r w:rsidR="000002BC">
        <w:rPr>
          <w:rFonts w:ascii="Arial" w:hAnsi="Arial" w:cs="Arial"/>
          <w:b/>
          <w:bCs/>
          <w:color w:val="104F75"/>
          <w:sz w:val="40"/>
          <w:szCs w:val="40"/>
        </w:rPr>
        <w:t>6</w:t>
      </w:r>
      <w:r w:rsidRPr="005420E4">
        <w:rPr>
          <w:rFonts w:ascii="Arial" w:hAnsi="Arial" w:cs="Arial"/>
          <w:b/>
          <w:bCs/>
          <w:color w:val="104F75"/>
          <w:sz w:val="40"/>
          <w:szCs w:val="40"/>
        </w:rPr>
        <w:t>a: Question Response Proforma</w:t>
      </w:r>
    </w:p>
    <w:p w14:paraId="130067CD" w14:textId="77777777" w:rsidR="0014110E" w:rsidRPr="0014110E" w:rsidRDefault="0014110E" w:rsidP="0014110E">
      <w:pPr>
        <w:spacing w:before="240" w:after="0" w:line="288" w:lineRule="auto"/>
        <w:rPr>
          <w:rFonts w:ascii="Arial" w:eastAsia="Calibri" w:hAnsi="Arial" w:cs="Times New Roman"/>
          <w:b/>
          <w:bCs/>
          <w:color w:val="104F75"/>
          <w:sz w:val="36"/>
          <w:szCs w:val="36"/>
          <w:lang w:eastAsia="en-GB"/>
        </w:rPr>
      </w:pPr>
      <w:r w:rsidRPr="0014110E">
        <w:rPr>
          <w:rFonts w:ascii="Arial" w:eastAsia="Calibri" w:hAnsi="Arial" w:cs="Times New Roman"/>
          <w:b/>
          <w:bCs/>
          <w:color w:val="104F75"/>
          <w:sz w:val="40"/>
          <w:szCs w:val="40"/>
          <w:lang w:val="en" w:eastAsia="en-GB"/>
        </w:rPr>
        <w:t>Planning and Delivery Support for Providers of T Levels, including the T Level Transition Programme and Industry Placements</w:t>
      </w:r>
    </w:p>
    <w:p w14:paraId="119AD53A" w14:textId="77777777" w:rsidR="0014110E" w:rsidRPr="0014110E" w:rsidRDefault="0014110E" w:rsidP="0014110E">
      <w:pPr>
        <w:spacing w:before="360" w:after="0" w:line="288" w:lineRule="auto"/>
        <w:rPr>
          <w:rFonts w:ascii="Arial" w:eastAsia="Calibri" w:hAnsi="Arial" w:cs="Times New Roman"/>
          <w:b/>
          <w:bCs/>
          <w:color w:val="104F75"/>
          <w:sz w:val="32"/>
          <w:szCs w:val="32"/>
          <w:lang w:eastAsia="en-GB"/>
        </w:rPr>
      </w:pPr>
      <w:r w:rsidRPr="0014110E">
        <w:rPr>
          <w:rFonts w:ascii="Arial" w:eastAsia="Calibri" w:hAnsi="Arial" w:cs="Times New Roman"/>
          <w:b/>
          <w:bCs/>
          <w:color w:val="104F75"/>
          <w:sz w:val="32"/>
          <w:szCs w:val="32"/>
          <w:lang w:eastAsia="en-GB"/>
        </w:rPr>
        <w:t xml:space="preserve">Tender References: </w:t>
      </w:r>
    </w:p>
    <w:p w14:paraId="7BF2DCEC" w14:textId="1022B1B7" w:rsidR="0014110E" w:rsidRPr="00727A7F" w:rsidRDefault="0014110E" w:rsidP="0014110E">
      <w:pPr>
        <w:spacing w:before="240" w:after="0" w:line="288" w:lineRule="auto"/>
        <w:ind w:left="720"/>
        <w:rPr>
          <w:rFonts w:ascii="Arial" w:eastAsia="Calibri" w:hAnsi="Arial" w:cs="Times New Roman"/>
          <w:b/>
          <w:bCs/>
          <w:color w:val="104F75"/>
          <w:sz w:val="32"/>
          <w:szCs w:val="32"/>
          <w:lang w:eastAsia="en-GB"/>
        </w:rPr>
      </w:pPr>
      <w:r w:rsidRPr="0014110E">
        <w:rPr>
          <w:rFonts w:ascii="Arial" w:eastAsia="Calibri" w:hAnsi="Arial" w:cs="Times New Roman"/>
          <w:b/>
          <w:bCs/>
          <w:color w:val="104F75"/>
          <w:sz w:val="32"/>
          <w:szCs w:val="32"/>
          <w:lang w:eastAsia="en-GB"/>
        </w:rPr>
        <w:t>Lot 1</w:t>
      </w:r>
      <w:r w:rsidRPr="00727A7F">
        <w:rPr>
          <w:rFonts w:ascii="Arial" w:eastAsia="Calibri" w:hAnsi="Arial" w:cs="Times New Roman"/>
          <w:b/>
          <w:bCs/>
          <w:color w:val="104F75"/>
          <w:sz w:val="32"/>
          <w:szCs w:val="32"/>
          <w:lang w:eastAsia="en-GB"/>
        </w:rPr>
        <w:t>: itt_</w:t>
      </w:r>
      <w:r w:rsidR="00727A7F" w:rsidRPr="00727A7F">
        <w:rPr>
          <w:rFonts w:ascii="Arial" w:eastAsia="Calibri" w:hAnsi="Arial" w:cs="Times New Roman"/>
          <w:b/>
          <w:bCs/>
          <w:color w:val="104F75"/>
          <w:sz w:val="32"/>
          <w:szCs w:val="32"/>
          <w:lang w:eastAsia="en-GB"/>
        </w:rPr>
        <w:t>1939</w:t>
      </w:r>
    </w:p>
    <w:p w14:paraId="2F12352F" w14:textId="36FFC4D2" w:rsidR="0014110E" w:rsidRPr="00727A7F" w:rsidRDefault="0014110E" w:rsidP="0014110E">
      <w:pPr>
        <w:spacing w:before="240" w:after="0" w:line="288" w:lineRule="auto"/>
        <w:ind w:left="720"/>
        <w:rPr>
          <w:rFonts w:ascii="Arial" w:eastAsia="Calibri" w:hAnsi="Arial" w:cs="Times New Roman"/>
          <w:b/>
          <w:bCs/>
          <w:color w:val="104F75"/>
          <w:sz w:val="32"/>
          <w:szCs w:val="32"/>
          <w:lang w:eastAsia="en-GB"/>
        </w:rPr>
      </w:pPr>
      <w:r w:rsidRPr="00727A7F">
        <w:rPr>
          <w:rFonts w:ascii="Arial" w:eastAsia="Calibri" w:hAnsi="Arial" w:cs="Times New Roman"/>
          <w:b/>
          <w:bCs/>
          <w:color w:val="104F75"/>
          <w:sz w:val="32"/>
          <w:szCs w:val="32"/>
          <w:lang w:eastAsia="en-GB"/>
        </w:rPr>
        <w:t>Lot 2: itt_</w:t>
      </w:r>
      <w:r w:rsidR="00727A7F" w:rsidRPr="00727A7F">
        <w:rPr>
          <w:rFonts w:ascii="Arial" w:eastAsia="Calibri" w:hAnsi="Arial" w:cs="Times New Roman"/>
          <w:b/>
          <w:bCs/>
          <w:color w:val="104F75"/>
          <w:sz w:val="32"/>
          <w:szCs w:val="32"/>
          <w:lang w:eastAsia="en-GB"/>
        </w:rPr>
        <w:t>1940</w:t>
      </w:r>
    </w:p>
    <w:p w14:paraId="688F11D5" w14:textId="28185645" w:rsidR="0014110E" w:rsidRPr="0014110E" w:rsidRDefault="0014110E" w:rsidP="0014110E">
      <w:pPr>
        <w:spacing w:before="240" w:after="0" w:line="288" w:lineRule="auto"/>
        <w:ind w:left="720"/>
        <w:rPr>
          <w:rFonts w:ascii="Arial" w:eastAsia="Calibri" w:hAnsi="Arial" w:cs="Times New Roman"/>
          <w:b/>
          <w:bCs/>
          <w:color w:val="104F75"/>
          <w:sz w:val="32"/>
          <w:szCs w:val="32"/>
          <w:lang w:eastAsia="en-GB"/>
        </w:rPr>
      </w:pPr>
      <w:r w:rsidRPr="00727A7F">
        <w:rPr>
          <w:rFonts w:ascii="Arial" w:eastAsia="Calibri" w:hAnsi="Arial" w:cs="Times New Roman"/>
          <w:b/>
          <w:bCs/>
          <w:color w:val="104F75"/>
          <w:sz w:val="32"/>
          <w:szCs w:val="32"/>
          <w:lang w:eastAsia="en-GB"/>
        </w:rPr>
        <w:t>Lot 3: itt_</w:t>
      </w:r>
      <w:r w:rsidR="00727A7F" w:rsidRPr="00727A7F">
        <w:rPr>
          <w:rFonts w:ascii="Arial" w:eastAsia="Calibri" w:hAnsi="Arial" w:cs="Times New Roman"/>
          <w:b/>
          <w:bCs/>
          <w:color w:val="104F75"/>
          <w:sz w:val="32"/>
          <w:szCs w:val="32"/>
          <w:lang w:eastAsia="en-GB"/>
        </w:rPr>
        <w:t>1941</w:t>
      </w:r>
    </w:p>
    <w:p w14:paraId="53ABF657" w14:textId="77777777" w:rsidR="0014110E" w:rsidRPr="0014110E" w:rsidRDefault="0014110E" w:rsidP="0014110E">
      <w:pPr>
        <w:spacing w:before="240" w:after="0" w:line="288" w:lineRule="auto"/>
        <w:rPr>
          <w:rFonts w:ascii="Arial" w:eastAsia="Calibri" w:hAnsi="Arial" w:cs="Times New Roman"/>
          <w:b/>
          <w:bCs/>
          <w:color w:val="104F75"/>
          <w:sz w:val="24"/>
          <w:szCs w:val="24"/>
          <w:lang w:eastAsia="en-GB"/>
        </w:rPr>
      </w:pPr>
    </w:p>
    <w:p w14:paraId="071638E8" w14:textId="77777777" w:rsidR="0014110E" w:rsidRPr="0014110E" w:rsidRDefault="0014110E" w:rsidP="0014110E">
      <w:pPr>
        <w:spacing w:before="240" w:after="0" w:line="288" w:lineRule="auto"/>
        <w:rPr>
          <w:rFonts w:ascii="Arial" w:eastAsia="STZhongsong" w:hAnsi="Arial" w:cs="Times New Roman"/>
          <w:b/>
          <w:bCs/>
          <w:color w:val="104F75"/>
          <w:sz w:val="32"/>
          <w:szCs w:val="32"/>
          <w:lang w:eastAsia="zh-CN"/>
        </w:rPr>
      </w:pPr>
      <w:r w:rsidRPr="0014110E">
        <w:rPr>
          <w:rFonts w:ascii="Arial" w:eastAsia="STZhongsong" w:hAnsi="Arial" w:cs="Times New Roman"/>
          <w:b/>
          <w:bCs/>
          <w:color w:val="104F75"/>
          <w:sz w:val="32"/>
          <w:szCs w:val="32"/>
          <w:lang w:eastAsia="zh-CN"/>
        </w:rPr>
        <w:t>December 2022</w:t>
      </w:r>
    </w:p>
    <w:p w14:paraId="518A1746" w14:textId="77777777" w:rsidR="00CA44B1" w:rsidRPr="00CA44B1" w:rsidRDefault="00CA44B1" w:rsidP="00CA44B1">
      <w:pPr>
        <w:keepNext/>
        <w:spacing w:after="240" w:line="288" w:lineRule="auto"/>
        <w:rPr>
          <w:rFonts w:ascii="Arial" w:hAnsi="Arial" w:cs="Arial"/>
          <w:sz w:val="24"/>
          <w:szCs w:val="24"/>
        </w:rPr>
      </w:pPr>
    </w:p>
    <w:p w14:paraId="5BF97C1A" w14:textId="219AE70F" w:rsidR="009C05E9" w:rsidRDefault="000002BC" w:rsidP="52794E79">
      <w:pPr>
        <w:rPr>
          <w:rFonts w:ascii="Arial" w:hAnsi="Arial" w:cs="Arial"/>
          <w:b/>
          <w:bCs/>
          <w:sz w:val="24"/>
          <w:szCs w:val="24"/>
        </w:rPr>
      </w:pPr>
      <w:r>
        <w:rPr>
          <w:rFonts w:ascii="Arial" w:hAnsi="Arial" w:cs="Arial"/>
          <w:b/>
          <w:bCs/>
          <w:sz w:val="24"/>
          <w:szCs w:val="24"/>
        </w:rPr>
        <w:t>Lot Number (please select):</w:t>
      </w:r>
    </w:p>
    <w:p w14:paraId="6C827FC1" w14:textId="54B4B564" w:rsidR="00107114" w:rsidRDefault="00000000" w:rsidP="52794E79">
      <w:pPr>
        <w:rPr>
          <w:rFonts w:ascii="Arial" w:hAnsi="Arial" w:cs="Arial"/>
          <w:sz w:val="24"/>
          <w:szCs w:val="24"/>
        </w:rPr>
      </w:pPr>
      <w:sdt>
        <w:sdtPr>
          <w:rPr>
            <w:rFonts w:ascii="Arial" w:hAnsi="Arial" w:cs="Arial"/>
            <w:b/>
            <w:bCs/>
            <w:sz w:val="24"/>
            <w:szCs w:val="24"/>
          </w:rPr>
          <w:id w:val="-1454715962"/>
          <w14:checkbox>
            <w14:checked w14:val="0"/>
            <w14:checkedState w14:val="2612" w14:font="MS Gothic"/>
            <w14:uncheckedState w14:val="2610" w14:font="MS Gothic"/>
          </w14:checkbox>
        </w:sdtPr>
        <w:sdtContent>
          <w:r w:rsidR="00DE6D91">
            <w:rPr>
              <w:rFonts w:ascii="MS Gothic" w:eastAsia="MS Gothic" w:hAnsi="MS Gothic" w:cs="Arial" w:hint="eastAsia"/>
              <w:b/>
              <w:bCs/>
              <w:sz w:val="24"/>
              <w:szCs w:val="24"/>
            </w:rPr>
            <w:t>☐</w:t>
          </w:r>
        </w:sdtContent>
      </w:sdt>
      <w:r w:rsidR="000002BC">
        <w:rPr>
          <w:rFonts w:ascii="Arial" w:hAnsi="Arial" w:cs="Arial"/>
          <w:b/>
          <w:bCs/>
          <w:sz w:val="24"/>
          <w:szCs w:val="24"/>
        </w:rPr>
        <w:t xml:space="preserve">  Lot 1: </w:t>
      </w:r>
      <w:r w:rsidR="00C90A63" w:rsidRPr="00C90A63">
        <w:rPr>
          <w:rFonts w:ascii="Arial" w:hAnsi="Arial" w:cs="Arial"/>
          <w:sz w:val="24"/>
          <w:szCs w:val="24"/>
        </w:rPr>
        <w:t>T Level Provider Support</w:t>
      </w:r>
      <w:r w:rsidR="002D6320">
        <w:rPr>
          <w:rFonts w:ascii="Arial" w:hAnsi="Arial" w:cs="Arial"/>
          <w:sz w:val="24"/>
          <w:szCs w:val="24"/>
        </w:rPr>
        <w:t xml:space="preserve"> (itt_</w:t>
      </w:r>
      <w:r w:rsidR="00861AEC">
        <w:rPr>
          <w:rFonts w:ascii="Arial" w:hAnsi="Arial" w:cs="Arial"/>
          <w:sz w:val="24"/>
          <w:szCs w:val="24"/>
        </w:rPr>
        <w:t>1939</w:t>
      </w:r>
      <w:r w:rsidR="002D6320">
        <w:rPr>
          <w:rFonts w:ascii="Arial" w:hAnsi="Arial" w:cs="Arial"/>
          <w:sz w:val="24"/>
          <w:szCs w:val="24"/>
        </w:rPr>
        <w:t>)</w:t>
      </w:r>
    </w:p>
    <w:p w14:paraId="161645F8" w14:textId="4B409FB8" w:rsidR="008654C7" w:rsidRDefault="00000000" w:rsidP="008654C7">
      <w:pPr>
        <w:rPr>
          <w:rFonts w:ascii="Arial" w:hAnsi="Arial" w:cs="Arial"/>
          <w:sz w:val="24"/>
          <w:szCs w:val="24"/>
        </w:rPr>
      </w:pPr>
      <w:sdt>
        <w:sdtPr>
          <w:rPr>
            <w:rFonts w:ascii="Arial" w:hAnsi="Arial" w:cs="Arial"/>
            <w:b/>
            <w:bCs/>
            <w:sz w:val="24"/>
            <w:szCs w:val="24"/>
          </w:rPr>
          <w:id w:val="-1630236929"/>
          <w14:checkbox>
            <w14:checked w14:val="0"/>
            <w14:checkedState w14:val="2612" w14:font="MS Gothic"/>
            <w14:uncheckedState w14:val="2610" w14:font="MS Gothic"/>
          </w14:checkbox>
        </w:sdtPr>
        <w:sdtContent>
          <w:r w:rsidR="00DE6D91">
            <w:rPr>
              <w:rFonts w:ascii="MS Gothic" w:eastAsia="MS Gothic" w:hAnsi="MS Gothic" w:cs="Arial" w:hint="eastAsia"/>
              <w:b/>
              <w:bCs/>
              <w:sz w:val="24"/>
              <w:szCs w:val="24"/>
            </w:rPr>
            <w:t>☐</w:t>
          </w:r>
        </w:sdtContent>
      </w:sdt>
      <w:r w:rsidR="008654C7">
        <w:rPr>
          <w:rFonts w:ascii="Arial" w:hAnsi="Arial" w:cs="Arial"/>
          <w:b/>
          <w:bCs/>
          <w:sz w:val="24"/>
          <w:szCs w:val="24"/>
        </w:rPr>
        <w:t xml:space="preserve">  Lot 2: </w:t>
      </w:r>
      <w:r w:rsidR="002D6320" w:rsidRPr="002D6320">
        <w:rPr>
          <w:rFonts w:ascii="Arial" w:hAnsi="Arial" w:cs="Arial"/>
          <w:sz w:val="24"/>
          <w:szCs w:val="24"/>
        </w:rPr>
        <w:t>T Level Industry Placement Employer Engagement</w:t>
      </w:r>
      <w:r w:rsidR="002D6320">
        <w:rPr>
          <w:rFonts w:ascii="Arial" w:hAnsi="Arial" w:cs="Arial"/>
          <w:sz w:val="24"/>
          <w:szCs w:val="24"/>
        </w:rPr>
        <w:t xml:space="preserve"> (itt_</w:t>
      </w:r>
      <w:r w:rsidR="00861AEC">
        <w:rPr>
          <w:rFonts w:ascii="Arial" w:hAnsi="Arial" w:cs="Arial"/>
          <w:sz w:val="24"/>
          <w:szCs w:val="24"/>
        </w:rPr>
        <w:t>1940</w:t>
      </w:r>
      <w:r w:rsidR="002D6320">
        <w:rPr>
          <w:rFonts w:ascii="Arial" w:hAnsi="Arial" w:cs="Arial"/>
          <w:sz w:val="24"/>
          <w:szCs w:val="24"/>
        </w:rPr>
        <w:t>)</w:t>
      </w:r>
    </w:p>
    <w:p w14:paraId="12E34CBB" w14:textId="41A55EE9" w:rsidR="008654C7" w:rsidRDefault="00000000" w:rsidP="008654C7">
      <w:pPr>
        <w:rPr>
          <w:rFonts w:ascii="Arial" w:hAnsi="Arial" w:cs="Arial"/>
          <w:sz w:val="24"/>
          <w:szCs w:val="24"/>
        </w:rPr>
      </w:pPr>
      <w:sdt>
        <w:sdtPr>
          <w:rPr>
            <w:rFonts w:ascii="Arial" w:hAnsi="Arial" w:cs="Arial"/>
            <w:b/>
            <w:bCs/>
            <w:sz w:val="24"/>
            <w:szCs w:val="24"/>
          </w:rPr>
          <w:id w:val="-552776102"/>
          <w14:checkbox>
            <w14:checked w14:val="1"/>
            <w14:checkedState w14:val="2612" w14:font="MS Gothic"/>
            <w14:uncheckedState w14:val="2610" w14:font="MS Gothic"/>
          </w14:checkbox>
        </w:sdtPr>
        <w:sdtContent>
          <w:r w:rsidR="00DE6D91">
            <w:rPr>
              <w:rFonts w:ascii="MS Gothic" w:eastAsia="MS Gothic" w:hAnsi="MS Gothic" w:cs="Arial" w:hint="eastAsia"/>
              <w:b/>
              <w:bCs/>
              <w:sz w:val="24"/>
              <w:szCs w:val="24"/>
            </w:rPr>
            <w:t>☒</w:t>
          </w:r>
        </w:sdtContent>
      </w:sdt>
      <w:r w:rsidR="008654C7">
        <w:rPr>
          <w:rFonts w:ascii="Arial" w:hAnsi="Arial" w:cs="Arial"/>
          <w:b/>
          <w:bCs/>
          <w:sz w:val="24"/>
          <w:szCs w:val="24"/>
        </w:rPr>
        <w:t xml:space="preserve">  Lot 3: </w:t>
      </w:r>
      <w:r w:rsidR="00D31D48" w:rsidRPr="00D31D48">
        <w:rPr>
          <w:rFonts w:ascii="Arial" w:hAnsi="Arial" w:cs="Arial"/>
          <w:sz w:val="24"/>
          <w:szCs w:val="24"/>
        </w:rPr>
        <w:t>T Level Transition Programme Providers</w:t>
      </w:r>
      <w:r w:rsidR="00D31D48">
        <w:rPr>
          <w:rFonts w:ascii="Arial" w:hAnsi="Arial" w:cs="Arial"/>
          <w:sz w:val="24"/>
          <w:szCs w:val="24"/>
        </w:rPr>
        <w:t xml:space="preserve"> (itt_</w:t>
      </w:r>
      <w:r w:rsidR="00861AEC">
        <w:rPr>
          <w:rFonts w:ascii="Arial" w:hAnsi="Arial" w:cs="Arial"/>
          <w:sz w:val="24"/>
          <w:szCs w:val="24"/>
        </w:rPr>
        <w:t>1941</w:t>
      </w:r>
      <w:r w:rsidR="00D31D48">
        <w:rPr>
          <w:rFonts w:ascii="Arial" w:hAnsi="Arial" w:cs="Arial"/>
          <w:sz w:val="24"/>
          <w:szCs w:val="24"/>
        </w:rPr>
        <w:t>)</w:t>
      </w:r>
    </w:p>
    <w:tbl>
      <w:tblPr>
        <w:tblStyle w:val="TableGrid"/>
        <w:tblpPr w:leftFromText="181" w:rightFromText="181" w:vertAnchor="text" w:horzAnchor="margin" w:tblpY="239"/>
        <w:tblW w:w="0" w:type="auto"/>
        <w:tblLayout w:type="fixed"/>
        <w:tblLook w:val="06A0" w:firstRow="1" w:lastRow="0" w:firstColumn="1" w:lastColumn="0" w:noHBand="1" w:noVBand="1"/>
      </w:tblPr>
      <w:tblGrid>
        <w:gridCol w:w="1413"/>
        <w:gridCol w:w="4597"/>
        <w:gridCol w:w="3005"/>
      </w:tblGrid>
      <w:tr w:rsidR="002E0162" w:rsidRPr="00CA44B1" w14:paraId="31A84792" w14:textId="77777777" w:rsidTr="002E0162">
        <w:tc>
          <w:tcPr>
            <w:tcW w:w="1413" w:type="dxa"/>
          </w:tcPr>
          <w:p w14:paraId="428A21E2"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Question Number</w:t>
            </w:r>
          </w:p>
        </w:tc>
        <w:tc>
          <w:tcPr>
            <w:tcW w:w="4597" w:type="dxa"/>
          </w:tcPr>
          <w:p w14:paraId="4842BF95"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Question Name</w:t>
            </w:r>
            <w:r>
              <w:rPr>
                <w:rFonts w:ascii="Arial" w:hAnsi="Arial" w:cs="Arial"/>
                <w:b/>
                <w:bCs/>
                <w:sz w:val="24"/>
                <w:szCs w:val="24"/>
              </w:rPr>
              <w:t xml:space="preserve"> / Theme</w:t>
            </w:r>
          </w:p>
        </w:tc>
        <w:tc>
          <w:tcPr>
            <w:tcW w:w="3005" w:type="dxa"/>
          </w:tcPr>
          <w:p w14:paraId="43BC80DC" w14:textId="77777777" w:rsidR="002E0162" w:rsidRPr="00CA44B1" w:rsidRDefault="002E0162" w:rsidP="002E0162">
            <w:pPr>
              <w:spacing w:before="60" w:after="60"/>
              <w:rPr>
                <w:rFonts w:ascii="Arial" w:hAnsi="Arial" w:cs="Arial"/>
                <w:b/>
                <w:bCs/>
                <w:sz w:val="24"/>
                <w:szCs w:val="24"/>
              </w:rPr>
            </w:pPr>
            <w:r w:rsidRPr="00CA44B1">
              <w:rPr>
                <w:rFonts w:ascii="Arial" w:hAnsi="Arial" w:cs="Arial"/>
                <w:b/>
                <w:bCs/>
                <w:sz w:val="24"/>
                <w:szCs w:val="24"/>
              </w:rPr>
              <w:t>Max. Word Count Permitted</w:t>
            </w:r>
          </w:p>
        </w:tc>
      </w:tr>
      <w:tr w:rsidR="002E0162" w:rsidRPr="00CA44B1" w14:paraId="401219B7" w14:textId="77777777" w:rsidTr="002E0162">
        <w:tc>
          <w:tcPr>
            <w:tcW w:w="1413" w:type="dxa"/>
          </w:tcPr>
          <w:p w14:paraId="1FCE891A" w14:textId="16667E06" w:rsidR="002E0162" w:rsidRPr="00CA44B1" w:rsidRDefault="00672A2B" w:rsidP="002E0162">
            <w:pPr>
              <w:spacing w:before="60" w:after="60"/>
              <w:rPr>
                <w:rFonts w:ascii="Arial" w:hAnsi="Arial" w:cs="Arial"/>
                <w:sz w:val="24"/>
                <w:szCs w:val="24"/>
              </w:rPr>
            </w:pPr>
            <w:r>
              <w:rPr>
                <w:rFonts w:ascii="Arial" w:hAnsi="Arial" w:cs="Arial"/>
                <w:sz w:val="24"/>
                <w:szCs w:val="24"/>
              </w:rPr>
              <w:t>1.1.1</w:t>
            </w:r>
          </w:p>
        </w:tc>
        <w:tc>
          <w:tcPr>
            <w:tcW w:w="4597" w:type="dxa"/>
          </w:tcPr>
          <w:p w14:paraId="516E74D9" w14:textId="0FBA292E" w:rsidR="002E0162" w:rsidRPr="00CA44B1" w:rsidRDefault="00672A2B" w:rsidP="002E0162">
            <w:pPr>
              <w:spacing w:before="60" w:after="60"/>
              <w:rPr>
                <w:rFonts w:ascii="Arial" w:hAnsi="Arial" w:cs="Arial"/>
                <w:sz w:val="24"/>
                <w:szCs w:val="24"/>
              </w:rPr>
            </w:pPr>
            <w:r>
              <w:rPr>
                <w:rFonts w:ascii="Arial" w:hAnsi="Arial" w:cs="Arial"/>
                <w:sz w:val="24"/>
                <w:szCs w:val="24"/>
              </w:rPr>
              <w:t>Capacity and Resourcing</w:t>
            </w:r>
          </w:p>
        </w:tc>
        <w:tc>
          <w:tcPr>
            <w:tcW w:w="3005" w:type="dxa"/>
          </w:tcPr>
          <w:p w14:paraId="158590D6" w14:textId="5FFD2EEE" w:rsidR="002E0162" w:rsidRPr="00CA44B1" w:rsidRDefault="007D4670" w:rsidP="002E0162">
            <w:pPr>
              <w:spacing w:before="60" w:after="60"/>
              <w:rPr>
                <w:rFonts w:ascii="Arial" w:hAnsi="Arial" w:cs="Arial"/>
                <w:sz w:val="24"/>
                <w:szCs w:val="24"/>
              </w:rPr>
            </w:pPr>
            <w:r>
              <w:rPr>
                <w:rFonts w:ascii="Arial" w:hAnsi="Arial" w:cs="Arial"/>
                <w:sz w:val="24"/>
                <w:szCs w:val="24"/>
              </w:rPr>
              <w:t>1500</w:t>
            </w:r>
          </w:p>
        </w:tc>
      </w:tr>
      <w:tr w:rsidR="002E0162" w:rsidRPr="00CA44B1" w14:paraId="1A2631DD" w14:textId="77777777" w:rsidTr="002E0162">
        <w:tc>
          <w:tcPr>
            <w:tcW w:w="6010" w:type="dxa"/>
            <w:gridSpan w:val="2"/>
          </w:tcPr>
          <w:p w14:paraId="11714F42"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Supplier Name</w:t>
            </w:r>
          </w:p>
        </w:tc>
        <w:tc>
          <w:tcPr>
            <w:tcW w:w="3005" w:type="dxa"/>
          </w:tcPr>
          <w:p w14:paraId="42FA5F48"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Word Count Submitted</w:t>
            </w:r>
          </w:p>
        </w:tc>
      </w:tr>
      <w:tr w:rsidR="002E0162" w:rsidRPr="00CA44B1" w14:paraId="1DC9A3FC" w14:textId="77777777" w:rsidTr="002E0162">
        <w:tc>
          <w:tcPr>
            <w:tcW w:w="6010" w:type="dxa"/>
            <w:gridSpan w:val="2"/>
          </w:tcPr>
          <w:p w14:paraId="4653A38E" w14:textId="686E0F03" w:rsidR="002E0162" w:rsidRPr="00CA44B1" w:rsidRDefault="007D4670" w:rsidP="002E0162">
            <w:pPr>
              <w:spacing w:before="60" w:after="60"/>
              <w:rPr>
                <w:rFonts w:ascii="Arial" w:hAnsi="Arial" w:cs="Arial"/>
                <w:sz w:val="24"/>
                <w:szCs w:val="24"/>
              </w:rPr>
            </w:pPr>
            <w:r>
              <w:rPr>
                <w:rFonts w:ascii="Arial" w:hAnsi="Arial" w:cs="Arial"/>
                <w:sz w:val="24"/>
                <w:szCs w:val="24"/>
              </w:rPr>
              <w:t>Association of Colleges</w:t>
            </w:r>
          </w:p>
        </w:tc>
        <w:tc>
          <w:tcPr>
            <w:tcW w:w="3005" w:type="dxa"/>
          </w:tcPr>
          <w:p w14:paraId="11B6683D" w14:textId="53605A86" w:rsidR="002E0162" w:rsidRPr="00CA44B1" w:rsidRDefault="00C4712B" w:rsidP="002E0162">
            <w:pPr>
              <w:spacing w:before="60" w:after="60"/>
              <w:rPr>
                <w:rFonts w:ascii="Arial" w:hAnsi="Arial" w:cs="Arial"/>
                <w:sz w:val="24"/>
                <w:szCs w:val="24"/>
              </w:rPr>
            </w:pPr>
            <w:r>
              <w:rPr>
                <w:rFonts w:ascii="Arial" w:hAnsi="Arial" w:cs="Arial"/>
                <w:sz w:val="24"/>
                <w:szCs w:val="24"/>
              </w:rPr>
              <w:t>1499</w:t>
            </w:r>
          </w:p>
        </w:tc>
      </w:tr>
    </w:tbl>
    <w:p w14:paraId="701F3150" w14:textId="77777777" w:rsidR="000002BC" w:rsidRDefault="000002BC" w:rsidP="52794E79">
      <w:pPr>
        <w:rPr>
          <w:rFonts w:ascii="Arial" w:hAnsi="Arial" w:cs="Arial"/>
          <w:b/>
          <w:bCs/>
          <w:sz w:val="24"/>
          <w:szCs w:val="24"/>
        </w:rPr>
      </w:pPr>
    </w:p>
    <w:p w14:paraId="2583FF42" w14:textId="793C99EB" w:rsidR="00441291" w:rsidRDefault="001C7985" w:rsidP="52794E79">
      <w:pPr>
        <w:rPr>
          <w:rFonts w:ascii="Arial" w:hAnsi="Arial" w:cs="Arial"/>
          <w:b/>
          <w:bCs/>
          <w:sz w:val="24"/>
          <w:szCs w:val="24"/>
        </w:rPr>
      </w:pPr>
      <w:r>
        <w:rPr>
          <w:rFonts w:ascii="Arial" w:hAnsi="Arial" w:cs="Arial"/>
          <w:b/>
          <w:bCs/>
          <w:sz w:val="24"/>
          <w:szCs w:val="24"/>
        </w:rPr>
        <w:lastRenderedPageBreak/>
        <w:t>Response to Question:</w:t>
      </w:r>
    </w:p>
    <w:p w14:paraId="53DC3F5D"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AoC will deliver a holistic programme of provider support on T Levels, Industry Placements Employer Engagement, and the T Level Transition Programme (TLTP). Our credibility, experience, and capacity to deliver enables us to provide high-quality sector support to successfully meet the objectives of the reforms to technical education.  </w:t>
      </w:r>
      <w:r>
        <w:rPr>
          <w:rStyle w:val="eop"/>
          <w:rFonts w:cs="Arial"/>
        </w:rPr>
        <w:t> </w:t>
      </w:r>
    </w:p>
    <w:p w14:paraId="4377BFCE"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640626B0"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Our organisational structure shows how resource will be utilised to deliver synergies across the three programmes, providing an efficient and effective delivery solution. A breakdown of roles against each Lot is also provided. </w:t>
      </w:r>
      <w:r>
        <w:rPr>
          <w:rStyle w:val="eop"/>
          <w:rFonts w:cs="Arial"/>
        </w:rPr>
        <w:t> </w:t>
      </w:r>
    </w:p>
    <w:p w14:paraId="5B071A82"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3A90CEA2"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Resource is structured in an agile way. Staff expertise will be utilised across programmes and work strands. A core team of experienced Advisors will be supported with specialist expertise, which will be used flexibly to deliver the required outputs, such as guidance resources, toolkits, events, networks, and data management. </w:t>
      </w:r>
      <w:r>
        <w:rPr>
          <w:rStyle w:val="eop"/>
          <w:rFonts w:cs="Arial"/>
        </w:rPr>
        <w:t> </w:t>
      </w:r>
    </w:p>
    <w:p w14:paraId="6053FBC9"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10EF2D2F"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The Strategic Lead will design a holistic support offer, producing delivery plans for each Lot. They will have responsibility for quality and impact assessment. Managers will be responsible for operationalising those delivery plans, and monitoring and reporting on the achievement of KPIs. Senior Advisors, who manage Advisors, will identify content for events, networks, and guidance resources. They will be responsible for standardisation and quality assurance within their programmes. Advisors’ time will be split between provider support and challenge, T Level buddying and mentoring, provider collaboration, employer engagement strategizing, facilitating industry links, and peer learning and development.   </w:t>
      </w:r>
      <w:r>
        <w:rPr>
          <w:rStyle w:val="eop"/>
          <w:rFonts w:cs="Arial"/>
        </w:rPr>
        <w:t> </w:t>
      </w:r>
    </w:p>
    <w:p w14:paraId="42A50B69"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50B3A2D8"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Staff will work across Lots to ensure programmes are aligned and opportunities to build on delivery are maximised. This also provides consistency and value for providers who will be supported to view programme implementation and delivery holistically. </w:t>
      </w:r>
      <w:r>
        <w:rPr>
          <w:rStyle w:val="eop"/>
          <w:rFonts w:cs="Arial"/>
        </w:rPr>
        <w:t> </w:t>
      </w:r>
    </w:p>
    <w:p w14:paraId="167B214C"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0CB91882" w14:textId="4E96509C"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 xml:space="preserve">We offer DfE unrivalled expertise and experience of large-scale provider delivery. We will provide ongoing reassurance that our offer fully meets requirements to support sector </w:t>
      </w:r>
      <w:r w:rsidR="000236B6">
        <w:rPr>
          <w:rStyle w:val="normaltextrun"/>
          <w:rFonts w:ascii="Arial" w:hAnsi="Arial" w:cs="Arial"/>
        </w:rPr>
        <w:t>preparedness</w:t>
      </w:r>
      <w:r>
        <w:rPr>
          <w:rStyle w:val="normaltextrun"/>
          <w:rFonts w:ascii="Arial" w:hAnsi="Arial" w:cs="Arial"/>
        </w:rPr>
        <w:t xml:space="preserve"> and the sustained success of T Level, Industry Placement and TLTP programmes. </w:t>
      </w:r>
      <w:r>
        <w:rPr>
          <w:rStyle w:val="eop"/>
          <w:rFonts w:cs="Arial"/>
        </w:rPr>
        <w:t> </w:t>
      </w:r>
    </w:p>
    <w:p w14:paraId="33EDFA09"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4B9DF7B2" w14:textId="0B421650"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 xml:space="preserve">AoC </w:t>
      </w:r>
      <w:r w:rsidR="000236B6">
        <w:rPr>
          <w:rStyle w:val="normaltextrun"/>
          <w:rFonts w:ascii="Arial" w:hAnsi="Arial" w:cs="Arial"/>
        </w:rPr>
        <w:t>provides</w:t>
      </w:r>
      <w:r>
        <w:rPr>
          <w:rStyle w:val="normaltextrun"/>
          <w:rFonts w:ascii="Arial" w:hAnsi="Arial" w:cs="Arial"/>
        </w:rPr>
        <w:t xml:space="preserve"> value for money through </w:t>
      </w:r>
      <w:r w:rsidR="00C4712B">
        <w:rPr>
          <w:rStyle w:val="normaltextrun"/>
          <w:rFonts w:ascii="Arial" w:hAnsi="Arial" w:cs="Arial"/>
        </w:rPr>
        <w:t>high-quality</w:t>
      </w:r>
      <w:r>
        <w:rPr>
          <w:rStyle w:val="normaltextrun"/>
          <w:rFonts w:ascii="Arial" w:hAnsi="Arial" w:cs="Arial"/>
        </w:rPr>
        <w:t>, efficient and effective delivery. We have secured sector buy-in from providers who value our support. We are invested in the reforms to technical education and are involved in numerous T Level initiatives, such as the T Level Professional Development (TLPD) offer. We fully understand the aims and objectives of support and are committed to provider success. </w:t>
      </w:r>
      <w:r>
        <w:rPr>
          <w:rStyle w:val="eop"/>
          <w:rFonts w:cs="Arial"/>
        </w:rPr>
        <w:t> </w:t>
      </w:r>
    </w:p>
    <w:p w14:paraId="06344BFF"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1F54316F"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 xml:space="preserve">We can deliver outputs efficiently. Skilled staff are in place, delivery plans, data management systems, processes and templates are ready. Existing relationships with providers will enable us to continue providing seamless support. We will also utilise these relationships for best practice sharing, mentoring and guidance resource </w:t>
      </w:r>
      <w:r>
        <w:rPr>
          <w:rStyle w:val="normaltextrun"/>
          <w:rFonts w:ascii="Arial" w:hAnsi="Arial" w:cs="Arial"/>
        </w:rPr>
        <w:lastRenderedPageBreak/>
        <w:t>development. A 5% discount will be applied to the overall funding, if AoC is selected to deliver more than one Lot. </w:t>
      </w:r>
      <w:r>
        <w:rPr>
          <w:rStyle w:val="eop"/>
          <w:rFonts w:cs="Arial"/>
        </w:rPr>
        <w:t> </w:t>
      </w:r>
    </w:p>
    <w:p w14:paraId="7BF920D9"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1F6E2782"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We will ensure our delivery is effective, achieving the intended outcomes and impact. Our strategic and operational understanding of how providers plan and deliver T Levels, Industry Placements and TLTPs and our extensive knowledge of current employer engagement strategies will enable us to push for innovation, adding value to providers’ planned delivery and student outcomes. </w:t>
      </w:r>
      <w:r>
        <w:rPr>
          <w:rStyle w:val="eop"/>
          <w:rFonts w:cs="Arial"/>
        </w:rPr>
        <w:t> </w:t>
      </w:r>
    </w:p>
    <w:p w14:paraId="5FEE77AC"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5A71EC55"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Delivery will be embedded within AoC’s wider structure. Programmes will be delivered under the AoC Projects Directorate and supported by the Director of Projects. A dedicated Senior Project Manager will be allocated to the programmes. Additional capacity will be made available at key delivery stages from a team of experienced project managers. </w:t>
      </w:r>
      <w:r>
        <w:rPr>
          <w:rStyle w:val="eop"/>
          <w:rFonts w:cs="Arial"/>
        </w:rPr>
        <w:t> </w:t>
      </w:r>
    </w:p>
    <w:p w14:paraId="5F845377"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7282ED38"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AoC Policy colleagues will continue to add value to the successful delivery of all three Lots. Policy expertise and sector insight from Policy Managers and AoC Area Directors will shape our support offer and inform the development of provider engagement strategies. Our wider organisational structure and representation adds credibility and enables us to build trust with senior provider staff to achieve impact. </w:t>
      </w:r>
      <w:r>
        <w:rPr>
          <w:rStyle w:val="eop"/>
          <w:rFonts w:cs="Arial"/>
        </w:rPr>
        <w:t> </w:t>
      </w:r>
    </w:p>
    <w:p w14:paraId="2AF0B04F" w14:textId="12638206"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6EA884F6"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The management of events and networks will be delivered by the AoC Events Team, allowing Advisors to focus their resource on provider support and monitoring, collaboration, mentoring, developing employer engagement strategies and longer-term self-sufficient support structures. The team will provide event scheduling, delegate booking and management, venue sourcing, in person/online management and delegate evaluation. The AoC Communications and Marketing team will support event recruitment. </w:t>
      </w:r>
      <w:r>
        <w:rPr>
          <w:rStyle w:val="eop"/>
          <w:rFonts w:cs="Arial"/>
        </w:rPr>
        <w:t> </w:t>
      </w:r>
    </w:p>
    <w:p w14:paraId="5201CF65"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2A7E439D"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Existing resource within the current T Level, TLTP and Industry Placement contracts will be deployed across the delivery of these programmes. We fully understand resource requirements and can meet them with existing skills, expertise, and capacity. Personal profiles of three key staff are outlined below. </w:t>
      </w:r>
      <w:r>
        <w:rPr>
          <w:rStyle w:val="eop"/>
          <w:rFonts w:cs="Arial"/>
        </w:rPr>
        <w:t> </w:t>
      </w:r>
    </w:p>
    <w:p w14:paraId="48F4A36B"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6C2E215A" w14:textId="4D2FFCD0" w:rsidR="003E0260" w:rsidRDefault="00743A66" w:rsidP="003E0260">
      <w:pPr>
        <w:pStyle w:val="paragraph"/>
        <w:spacing w:before="0" w:beforeAutospacing="0" w:after="0" w:afterAutospacing="0"/>
        <w:textAlignment w:val="baseline"/>
        <w:rPr>
          <w:rFonts w:ascii="Segoe UI" w:hAnsi="Segoe UI" w:cs="Segoe UI"/>
          <w:sz w:val="18"/>
          <w:szCs w:val="18"/>
        </w:rPr>
      </w:pPr>
      <w:r w:rsidRPr="00743A66">
        <w:rPr>
          <w:rStyle w:val="normaltextrun"/>
          <w:rFonts w:ascii="Arial" w:hAnsi="Arial" w:cs="Arial"/>
          <w:color w:val="FF0000"/>
          <w:u w:val="single"/>
        </w:rPr>
        <w:t>[REDACTED]</w:t>
      </w:r>
      <w:r w:rsidR="003E0260">
        <w:rPr>
          <w:rStyle w:val="normaltextrun"/>
          <w:rFonts w:ascii="Arial" w:hAnsi="Arial" w:cs="Arial"/>
          <w:u w:val="single"/>
        </w:rPr>
        <w:t>, Strategic Lead </w:t>
      </w:r>
      <w:r w:rsidR="003E0260">
        <w:rPr>
          <w:rStyle w:val="eop"/>
          <w:rFonts w:cs="Arial"/>
        </w:rPr>
        <w:t> </w:t>
      </w:r>
    </w:p>
    <w:p w14:paraId="40C25F99" w14:textId="65CE1ADA" w:rsidR="003E0260" w:rsidRDefault="00743A66" w:rsidP="003E0260">
      <w:pPr>
        <w:pStyle w:val="paragraph"/>
        <w:spacing w:before="0" w:beforeAutospacing="0" w:after="0" w:afterAutospacing="0"/>
        <w:textAlignment w:val="baseline"/>
        <w:rPr>
          <w:rFonts w:ascii="Segoe UI" w:hAnsi="Segoe UI" w:cs="Segoe UI"/>
          <w:sz w:val="18"/>
          <w:szCs w:val="18"/>
        </w:rPr>
      </w:pPr>
      <w:r w:rsidRPr="00743A66">
        <w:rPr>
          <w:rStyle w:val="normaltextrun"/>
          <w:rFonts w:ascii="Arial" w:hAnsi="Arial" w:cs="Arial"/>
          <w:color w:val="FF0000"/>
        </w:rPr>
        <w:t>[REDACTED]</w:t>
      </w:r>
      <w:r w:rsidR="003E0260">
        <w:rPr>
          <w:rStyle w:val="normaltextrun"/>
          <w:rFonts w:ascii="Arial" w:hAnsi="Arial" w:cs="Arial"/>
        </w:rPr>
        <w:t xml:space="preserve"> successfully leads the delivery of the current T Level, Industry Placement and TLTP provider support programmes and will ensure opportunities to streamline provider support are maximised. </w:t>
      </w:r>
      <w:r w:rsidRPr="00743A66">
        <w:rPr>
          <w:rStyle w:val="normaltextrun"/>
          <w:rFonts w:ascii="Arial" w:hAnsi="Arial" w:cs="Arial"/>
          <w:color w:val="FF0000"/>
        </w:rPr>
        <w:t xml:space="preserve">[REDACTED] </w:t>
      </w:r>
      <w:r w:rsidR="003E0260">
        <w:rPr>
          <w:rStyle w:val="normaltextrun"/>
          <w:rFonts w:ascii="Arial" w:hAnsi="Arial" w:cs="Arial"/>
        </w:rPr>
        <w:t>brings a wealth of experience in FE to ensure support is modelled on highly effective programme design, implementation, and delivery. She has developed trusted relationships with providers and built confidence in our approach through her ability to offer credible solutions.</w:t>
      </w:r>
      <w:r w:rsidR="003E0260">
        <w:rPr>
          <w:rStyle w:val="eop"/>
          <w:rFonts w:cs="Arial"/>
        </w:rPr>
        <w:t> </w:t>
      </w:r>
    </w:p>
    <w:p w14:paraId="7BDA4B9E"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0093E0D7" w14:textId="1CCC5463" w:rsidR="003E0260" w:rsidRDefault="00743A66" w:rsidP="003E0260">
      <w:pPr>
        <w:pStyle w:val="paragraph"/>
        <w:spacing w:before="0" w:beforeAutospacing="0" w:after="0" w:afterAutospacing="0"/>
        <w:textAlignment w:val="baseline"/>
        <w:rPr>
          <w:rFonts w:ascii="Segoe UI" w:hAnsi="Segoe UI" w:cs="Segoe UI"/>
          <w:sz w:val="18"/>
          <w:szCs w:val="18"/>
        </w:rPr>
      </w:pPr>
      <w:r w:rsidRPr="00743A66">
        <w:rPr>
          <w:rStyle w:val="normaltextrun"/>
          <w:rFonts w:ascii="Arial" w:hAnsi="Arial" w:cs="Arial"/>
          <w:color w:val="FF0000"/>
        </w:rPr>
        <w:t>[REDACTED]</w:t>
      </w:r>
      <w:r w:rsidR="003E0260" w:rsidRPr="00743A66">
        <w:rPr>
          <w:rStyle w:val="normaltextrun"/>
          <w:rFonts w:ascii="Arial" w:hAnsi="Arial" w:cs="Arial"/>
          <w:color w:val="FF0000"/>
        </w:rPr>
        <w:t xml:space="preserve"> </w:t>
      </w:r>
      <w:r w:rsidR="003E0260">
        <w:rPr>
          <w:rStyle w:val="normaltextrun"/>
          <w:rFonts w:ascii="Arial" w:hAnsi="Arial" w:cs="Arial"/>
        </w:rPr>
        <w:t xml:space="preserve">is an experienced educational professional with over 15 years’ success in teaching, management, and leadership. Before joining AoC, she held a cross-college management position, leading two outstanding Departments. </w:t>
      </w:r>
      <w:r w:rsidRPr="00743A66">
        <w:rPr>
          <w:rStyle w:val="normaltextrun"/>
          <w:rFonts w:ascii="Arial" w:hAnsi="Arial" w:cs="Arial"/>
          <w:color w:val="FF0000"/>
        </w:rPr>
        <w:t>[REDACTED]</w:t>
      </w:r>
      <w:r w:rsidR="003E0260" w:rsidRPr="00743A66">
        <w:rPr>
          <w:rStyle w:val="normaltextrun"/>
          <w:rFonts w:ascii="Arial" w:hAnsi="Arial" w:cs="Arial"/>
          <w:color w:val="FF0000"/>
        </w:rPr>
        <w:t xml:space="preserve"> </w:t>
      </w:r>
      <w:r w:rsidR="003E0260">
        <w:rPr>
          <w:rStyle w:val="normaltextrun"/>
          <w:rFonts w:ascii="Arial" w:hAnsi="Arial" w:cs="Arial"/>
        </w:rPr>
        <w:t>managed the College’s CDF implementation.</w:t>
      </w:r>
      <w:r w:rsidR="003E0260">
        <w:rPr>
          <w:rStyle w:val="eop"/>
          <w:rFonts w:cs="Arial"/>
        </w:rPr>
        <w:t> </w:t>
      </w:r>
    </w:p>
    <w:p w14:paraId="44255612"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6763D2B2" w14:textId="76F5C3C5" w:rsidR="003E0260" w:rsidRDefault="00743A66" w:rsidP="003E0260">
      <w:pPr>
        <w:pStyle w:val="paragraph"/>
        <w:spacing w:before="0" w:beforeAutospacing="0" w:after="0" w:afterAutospacing="0"/>
        <w:textAlignment w:val="baseline"/>
        <w:rPr>
          <w:rFonts w:ascii="Segoe UI" w:hAnsi="Segoe UI" w:cs="Segoe UI"/>
          <w:sz w:val="18"/>
          <w:szCs w:val="18"/>
        </w:rPr>
      </w:pPr>
      <w:r w:rsidRPr="00743A66">
        <w:rPr>
          <w:rStyle w:val="normaltextrun"/>
          <w:rFonts w:ascii="Arial" w:hAnsi="Arial" w:cs="Arial"/>
          <w:color w:val="FF0000"/>
        </w:rPr>
        <w:t>[REDACTED]</w:t>
      </w:r>
      <w:r w:rsidR="003E0260" w:rsidRPr="00743A66">
        <w:rPr>
          <w:rStyle w:val="normaltextrun"/>
          <w:rFonts w:ascii="Arial" w:hAnsi="Arial" w:cs="Arial"/>
          <w:color w:val="FF0000"/>
        </w:rPr>
        <w:t xml:space="preserve"> </w:t>
      </w:r>
      <w:r w:rsidR="003E0260">
        <w:rPr>
          <w:rStyle w:val="normaltextrun"/>
          <w:rFonts w:ascii="Arial" w:hAnsi="Arial" w:cs="Arial"/>
        </w:rPr>
        <w:t>is currently undertaking a secondment within the Department as Skills Strategy Lead working on the development of the 2030 Skills Plan.  </w:t>
      </w:r>
      <w:r w:rsidR="003E0260">
        <w:rPr>
          <w:rStyle w:val="eop"/>
          <w:rFonts w:cs="Arial"/>
        </w:rPr>
        <w:t> </w:t>
      </w:r>
    </w:p>
    <w:p w14:paraId="7B96DA04"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lastRenderedPageBreak/>
        <w:t> </w:t>
      </w:r>
    </w:p>
    <w:p w14:paraId="6536C61C" w14:textId="2D702AA2" w:rsidR="003E0260" w:rsidRDefault="00124FB5" w:rsidP="003E0260">
      <w:pPr>
        <w:pStyle w:val="paragraph"/>
        <w:spacing w:before="0" w:beforeAutospacing="0" w:after="0" w:afterAutospacing="0"/>
        <w:textAlignment w:val="baseline"/>
        <w:rPr>
          <w:rFonts w:ascii="Segoe UI" w:hAnsi="Segoe UI" w:cs="Segoe UI"/>
          <w:sz w:val="18"/>
          <w:szCs w:val="18"/>
        </w:rPr>
      </w:pPr>
      <w:r w:rsidRPr="00124FB5">
        <w:rPr>
          <w:rStyle w:val="normaltextrun"/>
          <w:rFonts w:ascii="Arial" w:hAnsi="Arial" w:cs="Arial"/>
          <w:color w:val="FF0000"/>
          <w:u w:val="single"/>
        </w:rPr>
        <w:t>[REDACTED]</w:t>
      </w:r>
      <w:r w:rsidR="003E0260" w:rsidRPr="00124FB5">
        <w:rPr>
          <w:rStyle w:val="normaltextrun"/>
          <w:rFonts w:ascii="Arial" w:hAnsi="Arial" w:cs="Arial"/>
          <w:u w:val="single"/>
        </w:rPr>
        <w:t>,</w:t>
      </w:r>
      <w:r w:rsidR="003E0260">
        <w:rPr>
          <w:rStyle w:val="normaltextrun"/>
          <w:rFonts w:ascii="Arial" w:hAnsi="Arial" w:cs="Arial"/>
          <w:u w:val="single"/>
        </w:rPr>
        <w:t xml:space="preserve"> Project Manager </w:t>
      </w:r>
      <w:r w:rsidR="003E0260">
        <w:rPr>
          <w:rStyle w:val="eop"/>
          <w:rFonts w:cs="Arial"/>
        </w:rPr>
        <w:t> </w:t>
      </w:r>
    </w:p>
    <w:p w14:paraId="015B075A" w14:textId="19F74608" w:rsidR="003E0260" w:rsidRDefault="00124FB5" w:rsidP="003E0260">
      <w:pPr>
        <w:pStyle w:val="paragraph"/>
        <w:spacing w:before="0" w:beforeAutospacing="0" w:after="0" w:afterAutospacing="0"/>
        <w:textAlignment w:val="baseline"/>
        <w:rPr>
          <w:rFonts w:ascii="Segoe UI" w:hAnsi="Segoe UI" w:cs="Segoe UI"/>
          <w:sz w:val="18"/>
          <w:szCs w:val="18"/>
        </w:rPr>
      </w:pPr>
      <w:r w:rsidRPr="00743A66">
        <w:rPr>
          <w:rStyle w:val="normaltextrun"/>
          <w:rFonts w:ascii="Arial" w:hAnsi="Arial" w:cs="Arial"/>
          <w:color w:val="FF0000"/>
        </w:rPr>
        <w:t>[REDACTED]</w:t>
      </w:r>
      <w:r w:rsidR="003E0260">
        <w:rPr>
          <w:rStyle w:val="normaltextrun"/>
          <w:rFonts w:ascii="Arial" w:hAnsi="Arial" w:cs="Arial"/>
        </w:rPr>
        <w:t xml:space="preserve"> manages the T Level and TLTP Programme and previously managed the Industry Placement provider support programme. She has a clear understanding of T Level (including Industry Placement) and TLTP provider and DfE requirements and will utilise the learning to implement effective processes to ensure high-quality programme design. Knowledge of existing support will enable </w:t>
      </w:r>
      <w:r w:rsidRPr="00743A66">
        <w:rPr>
          <w:rStyle w:val="normaltextrun"/>
          <w:rFonts w:ascii="Arial" w:hAnsi="Arial" w:cs="Arial"/>
          <w:color w:val="FF0000"/>
        </w:rPr>
        <w:t>[REDACTED]</w:t>
      </w:r>
      <w:r>
        <w:rPr>
          <w:rStyle w:val="normaltextrun"/>
          <w:rFonts w:ascii="Arial" w:hAnsi="Arial" w:cs="Arial"/>
        </w:rPr>
        <w:t xml:space="preserve"> </w:t>
      </w:r>
      <w:r w:rsidR="003E0260">
        <w:rPr>
          <w:rStyle w:val="normaltextrun"/>
          <w:rFonts w:ascii="Arial" w:hAnsi="Arial" w:cs="Arial"/>
        </w:rPr>
        <w:t>to align delivery planning to other key sector activity, including the T Level Professional Development (TLPD) events and networks.</w:t>
      </w:r>
      <w:r w:rsidR="003E0260">
        <w:rPr>
          <w:rStyle w:val="eop"/>
          <w:rFonts w:cs="Arial"/>
        </w:rPr>
        <w:t> </w:t>
      </w:r>
    </w:p>
    <w:p w14:paraId="1C35BFBF"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5509B0C4" w14:textId="735C7D9A" w:rsidR="003E0260" w:rsidRDefault="00124FB5" w:rsidP="003E0260">
      <w:pPr>
        <w:pStyle w:val="paragraph"/>
        <w:spacing w:before="0" w:beforeAutospacing="0" w:after="0" w:afterAutospacing="0"/>
        <w:textAlignment w:val="baseline"/>
        <w:rPr>
          <w:rFonts w:ascii="Segoe UI" w:hAnsi="Segoe UI" w:cs="Segoe UI"/>
          <w:sz w:val="18"/>
          <w:szCs w:val="18"/>
        </w:rPr>
      </w:pPr>
      <w:r w:rsidRPr="00743A66">
        <w:rPr>
          <w:rStyle w:val="normaltextrun"/>
          <w:rFonts w:ascii="Arial" w:hAnsi="Arial" w:cs="Arial"/>
          <w:color w:val="FF0000"/>
        </w:rPr>
        <w:t>[REDACTED]</w:t>
      </w:r>
      <w:r>
        <w:rPr>
          <w:rStyle w:val="normaltextrun"/>
          <w:rFonts w:ascii="Arial" w:hAnsi="Arial" w:cs="Arial"/>
        </w:rPr>
        <w:t xml:space="preserve"> </w:t>
      </w:r>
      <w:r w:rsidR="003E0260">
        <w:rPr>
          <w:rStyle w:val="normaltextrun"/>
          <w:rFonts w:ascii="Arial" w:hAnsi="Arial" w:cs="Arial"/>
        </w:rPr>
        <w:t xml:space="preserve">has over 8 years’ experience managing a range of education projects. As Project Delivery and Operations Manager at AoC, she is responsible for the implementation and maintenance of consistently high standards of delivery across a portfolio of projects. She manages budgets up to the value of £5 million and is responsible for risk management; ensuring risks are identified, monitored, and mitigated against. </w:t>
      </w:r>
      <w:r w:rsidRPr="00743A66">
        <w:rPr>
          <w:rStyle w:val="normaltextrun"/>
          <w:rFonts w:ascii="Arial" w:hAnsi="Arial" w:cs="Arial"/>
          <w:color w:val="FF0000"/>
        </w:rPr>
        <w:t>[REDACTED]</w:t>
      </w:r>
      <w:r w:rsidR="003E0260">
        <w:rPr>
          <w:rStyle w:val="normaltextrun"/>
          <w:rFonts w:ascii="Arial" w:hAnsi="Arial" w:cs="Arial"/>
        </w:rPr>
        <w:t xml:space="preserve"> regularly liaises with senior staff from across the sector and within Government.</w:t>
      </w:r>
      <w:r w:rsidR="003E0260">
        <w:rPr>
          <w:rStyle w:val="eop"/>
          <w:rFonts w:cs="Arial"/>
        </w:rPr>
        <w:t> </w:t>
      </w:r>
    </w:p>
    <w:p w14:paraId="6FCF4540"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7DA09BF0" w14:textId="6F244289" w:rsidR="003E0260" w:rsidRDefault="00124FB5" w:rsidP="003E0260">
      <w:pPr>
        <w:pStyle w:val="paragraph"/>
        <w:spacing w:before="0" w:beforeAutospacing="0" w:after="0" w:afterAutospacing="0"/>
        <w:textAlignment w:val="baseline"/>
        <w:rPr>
          <w:rFonts w:ascii="Segoe UI" w:hAnsi="Segoe UI" w:cs="Segoe UI"/>
          <w:sz w:val="18"/>
          <w:szCs w:val="18"/>
        </w:rPr>
      </w:pPr>
      <w:r w:rsidRPr="00124FB5">
        <w:rPr>
          <w:rStyle w:val="normaltextrun"/>
          <w:rFonts w:ascii="Arial" w:hAnsi="Arial" w:cs="Arial"/>
          <w:color w:val="FF0000"/>
          <w:u w:val="single"/>
        </w:rPr>
        <w:t>[REDACTED]</w:t>
      </w:r>
      <w:r w:rsidR="003E0260" w:rsidRPr="00124FB5">
        <w:rPr>
          <w:rStyle w:val="normaltextrun"/>
          <w:rFonts w:ascii="Arial" w:hAnsi="Arial" w:cs="Arial"/>
          <w:u w:val="single"/>
        </w:rPr>
        <w:t xml:space="preserve">, </w:t>
      </w:r>
      <w:r w:rsidR="003E0260">
        <w:rPr>
          <w:rStyle w:val="normaltextrun"/>
          <w:rFonts w:ascii="Arial" w:hAnsi="Arial" w:cs="Arial"/>
          <w:u w:val="single"/>
        </w:rPr>
        <w:t>Advisor </w:t>
      </w:r>
      <w:r w:rsidR="003E0260">
        <w:rPr>
          <w:rStyle w:val="eop"/>
          <w:rFonts w:cs="Arial"/>
        </w:rPr>
        <w:t> </w:t>
      </w:r>
    </w:p>
    <w:p w14:paraId="158B316A" w14:textId="2BE798B8" w:rsidR="003E0260" w:rsidRDefault="00124FB5" w:rsidP="003E0260">
      <w:pPr>
        <w:pStyle w:val="paragraph"/>
        <w:spacing w:before="0" w:beforeAutospacing="0" w:after="0" w:afterAutospacing="0"/>
        <w:textAlignment w:val="baseline"/>
        <w:rPr>
          <w:rFonts w:ascii="Segoe UI" w:hAnsi="Segoe UI" w:cs="Segoe UI"/>
          <w:sz w:val="18"/>
          <w:szCs w:val="18"/>
        </w:rPr>
      </w:pPr>
      <w:r w:rsidRPr="00743A66">
        <w:rPr>
          <w:rStyle w:val="normaltextrun"/>
          <w:rFonts w:ascii="Arial" w:hAnsi="Arial" w:cs="Arial"/>
          <w:color w:val="FF0000"/>
        </w:rPr>
        <w:t>[REDACTED]</w:t>
      </w:r>
      <w:r w:rsidR="003E0260">
        <w:rPr>
          <w:rStyle w:val="normaltextrun"/>
          <w:rFonts w:ascii="Arial" w:hAnsi="Arial" w:cs="Arial"/>
        </w:rPr>
        <w:t xml:space="preserve"> currently supports a caseload of 30 providers with T Level and TLTP planning and delivery. Her detailed knowledge of programme design and delivery adds enormous value to the provider experience. </w:t>
      </w:r>
      <w:r w:rsidRPr="00743A66">
        <w:rPr>
          <w:rStyle w:val="normaltextrun"/>
          <w:rFonts w:ascii="Arial" w:hAnsi="Arial" w:cs="Arial"/>
          <w:color w:val="FF0000"/>
        </w:rPr>
        <w:t>[REDACTED]</w:t>
      </w:r>
      <w:r w:rsidR="003E0260">
        <w:rPr>
          <w:rStyle w:val="normaltextrun"/>
          <w:rFonts w:ascii="Arial" w:hAnsi="Arial" w:cs="Arial"/>
        </w:rPr>
        <w:t xml:space="preserve">’s an experienced coach and mentor, who uses these skills to drive innovation and has facilitated peer mentoring and collaborative opportunities for providers across the programmes. </w:t>
      </w:r>
      <w:r w:rsidRPr="00743A66">
        <w:rPr>
          <w:rStyle w:val="normaltextrun"/>
          <w:rFonts w:ascii="Arial" w:hAnsi="Arial" w:cs="Arial"/>
          <w:color w:val="FF0000"/>
        </w:rPr>
        <w:t>[REDACTED]</w:t>
      </w:r>
      <w:r w:rsidR="003E0260">
        <w:rPr>
          <w:rStyle w:val="normaltextrun"/>
          <w:rFonts w:ascii="Arial" w:hAnsi="Arial" w:cs="Arial"/>
        </w:rPr>
        <w:t xml:space="preserve"> is skilled at planning content for guidance resources, events and facilitating provider networks. </w:t>
      </w:r>
      <w:r w:rsidR="003E0260">
        <w:rPr>
          <w:rStyle w:val="eop"/>
          <w:rFonts w:cs="Arial"/>
        </w:rPr>
        <w:t> </w:t>
      </w:r>
    </w:p>
    <w:p w14:paraId="17F3604A"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6EC1B3DF" w14:textId="64939F8C" w:rsidR="003E0260" w:rsidRDefault="00124FB5" w:rsidP="003E0260">
      <w:pPr>
        <w:pStyle w:val="paragraph"/>
        <w:spacing w:before="0" w:beforeAutospacing="0" w:after="0" w:afterAutospacing="0"/>
        <w:textAlignment w:val="baseline"/>
        <w:rPr>
          <w:rFonts w:ascii="Segoe UI" w:hAnsi="Segoe UI" w:cs="Segoe UI"/>
          <w:sz w:val="18"/>
          <w:szCs w:val="18"/>
        </w:rPr>
      </w:pPr>
      <w:r w:rsidRPr="00743A66">
        <w:rPr>
          <w:rStyle w:val="normaltextrun"/>
          <w:rFonts w:ascii="Arial" w:hAnsi="Arial" w:cs="Arial"/>
          <w:color w:val="FF0000"/>
        </w:rPr>
        <w:t>[REDACTED]</w:t>
      </w:r>
      <w:r w:rsidR="003E0260">
        <w:rPr>
          <w:rStyle w:val="normaltextrun"/>
          <w:rFonts w:ascii="Arial" w:hAnsi="Arial" w:cs="Arial"/>
        </w:rPr>
        <w:t xml:space="preserve"> has worked in education for 25 years. As a Curriculum Leader, she has extensive knowledge and experience working in FE, HE and Apprenticeships. She has developed a clear understanding of the T Level, TLTP, employer engagement and Industry Placement strategies required to successfully meet the requirements of technical education reform. </w:t>
      </w:r>
      <w:r w:rsidR="003E0260">
        <w:rPr>
          <w:rStyle w:val="eop"/>
          <w:rFonts w:cs="Arial"/>
        </w:rPr>
        <w:t> </w:t>
      </w:r>
    </w:p>
    <w:p w14:paraId="181E6CAC"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623BC34C"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AoC is a national organisation with the ability to appoint and deploy staff into the required roles. We have evidenced our ability to attract staff with the relevant skillsets to meet programme requirements. On the current contracts we employ a team of highly effective Advisors who have experience in the post-16 sector, working across a range of disciplines and provider types. These include an ex-Head of Quality, employer engagement specialist, Industry Placement Officer, Curriculum Leader, and ex Ofsted Inspector.</w:t>
      </w:r>
      <w:r>
        <w:rPr>
          <w:rStyle w:val="eop"/>
          <w:rFonts w:cs="Arial"/>
        </w:rPr>
        <w:t> </w:t>
      </w:r>
    </w:p>
    <w:p w14:paraId="29C01905"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498CA98F"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If we are required to recruit additional resource, we will follow our organisational recruitment practices and call on the expertise of the AoC Executive Recruitment Team to reach qualified staff with post-16 experience. Vacancies will be posted on the AoC Jobs Board, which has over 15,000 individuals signed up to receive information about sector jobs. We will also promote opportunities via the AoC website and LinkedIn account. </w:t>
      </w:r>
      <w:r>
        <w:rPr>
          <w:rStyle w:val="eop"/>
          <w:rFonts w:cs="Arial"/>
        </w:rPr>
        <w:t> </w:t>
      </w:r>
    </w:p>
    <w:p w14:paraId="3451BD80"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3EDF9637"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lastRenderedPageBreak/>
        <w:t>During contract implementation, we will create recruitment templates such as HR authorisation forms, role descriptions, interview tasks and advert text. This will enable us to fill positions quickly, if required, throughout delivery. </w:t>
      </w:r>
      <w:r>
        <w:rPr>
          <w:rStyle w:val="eop"/>
          <w:rFonts w:cs="Arial"/>
        </w:rPr>
        <w:t> </w:t>
      </w:r>
    </w:p>
    <w:p w14:paraId="22929718"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6CBB48C3"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Where specific expertise, outside of AoC’s capabilities is sought, we will draw on our extensive associate and partner contacts. During the delivery of TLTP and Industry Placement support, AoC has worked with specialist technical education associates to deliver provider focus groups and we have included stakeholders such as Ofsted and employers at national events. </w:t>
      </w:r>
      <w:r>
        <w:rPr>
          <w:rStyle w:val="eop"/>
          <w:rFonts w:cs="Arial"/>
        </w:rPr>
        <w:t> </w:t>
      </w:r>
    </w:p>
    <w:p w14:paraId="67E340E5"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143D8C4D"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We anticipate using the resources outlined above in a similar capacity for years 3 and 4. The roles outlined in our organisational structure will be employed to work solely on these contracts, enabling us to provide capacity effectively across the delivery years.  </w:t>
      </w:r>
      <w:r>
        <w:rPr>
          <w:rStyle w:val="eop"/>
          <w:rFonts w:cs="Arial"/>
        </w:rPr>
        <w:t> </w:t>
      </w:r>
    </w:p>
    <w:p w14:paraId="183C2A29"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572A259C"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Annual reviews will be undertaken to ensure our resource responsively meets programme delivery requirements. Staff contracts will cover the initial two-year period, allowing us to flex resource to meet future support requirements and provider numbers in years 3 and 4. </w:t>
      </w:r>
      <w:r>
        <w:rPr>
          <w:rStyle w:val="eop"/>
          <w:rFonts w:cs="Arial"/>
        </w:rPr>
        <w:t> </w:t>
      </w:r>
    </w:p>
    <w:p w14:paraId="06F1ACCA"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007E7011" w14:textId="28079B2F"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Internal resource will be used to meet programme objectives and deliver the required outputs within each Lot. AoC will draw on our stakeholder relationships to deliver a high-quality support programme, enhancing provider support and student experience. </w:t>
      </w:r>
      <w:r>
        <w:rPr>
          <w:rStyle w:val="eop"/>
          <w:rFonts w:cs="Arial"/>
        </w:rPr>
        <w:t> </w:t>
      </w:r>
    </w:p>
    <w:p w14:paraId="0D9DF5E0"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7FEE409A"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Partners will include ETF, the Gatsby Foundation, the T Level Ambassador’s network, Sector Bodies, Employer Representatives, Sector Skills Councils, Institutes of Technology (IoTs), Local Skills Improvement Plans (LSIPs), LEPs and Local Authorities.</w:t>
      </w:r>
    </w:p>
    <w:p w14:paraId="791E5DB8" w14:textId="77777777" w:rsidR="00441291" w:rsidRPr="001C7985" w:rsidRDefault="00441291" w:rsidP="52794E79">
      <w:pPr>
        <w:rPr>
          <w:rFonts w:ascii="Arial" w:hAnsi="Arial" w:cs="Arial"/>
          <w:b/>
          <w:bCs/>
          <w:sz w:val="24"/>
          <w:szCs w:val="24"/>
        </w:rPr>
      </w:pPr>
    </w:p>
    <w:sectPr w:rsidR="00441291" w:rsidRPr="001C798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1" w15:restartNumberingAfterBreak="0">
    <w:nsid w:val="355954FD"/>
    <w:multiLevelType w:val="multilevel"/>
    <w:tmpl w:val="306E71B4"/>
    <w:lvl w:ilvl="0">
      <w:start w:val="1"/>
      <w:numFmt w:val="decimal"/>
      <w:lvlRestart w:val="0"/>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2"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3" w15:restartNumberingAfterBreak="0">
    <w:nsid w:val="63231001"/>
    <w:multiLevelType w:val="hybridMultilevel"/>
    <w:tmpl w:val="6E5C3104"/>
    <w:lvl w:ilvl="0" w:tplc="41B07BC6">
      <w:start w:val="1"/>
      <w:numFmt w:val="bullet"/>
      <w:lvlRestart w:val="0"/>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270427187">
    <w:abstractNumId w:val="1"/>
  </w:num>
  <w:num w:numId="2" w16cid:durableId="218246681">
    <w:abstractNumId w:val="0"/>
  </w:num>
  <w:num w:numId="3" w16cid:durableId="588781833">
    <w:abstractNumId w:val="3"/>
  </w:num>
  <w:num w:numId="4" w16cid:durableId="9221770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248044"/>
    <w:rsid w:val="000002BC"/>
    <w:rsid w:val="000236B6"/>
    <w:rsid w:val="00107114"/>
    <w:rsid w:val="00124FB5"/>
    <w:rsid w:val="0014110E"/>
    <w:rsid w:val="001779A3"/>
    <w:rsid w:val="001C7985"/>
    <w:rsid w:val="00236349"/>
    <w:rsid w:val="002D6320"/>
    <w:rsid w:val="002E0162"/>
    <w:rsid w:val="003E0260"/>
    <w:rsid w:val="00441291"/>
    <w:rsid w:val="00473CF9"/>
    <w:rsid w:val="00477947"/>
    <w:rsid w:val="005420E4"/>
    <w:rsid w:val="00672A2B"/>
    <w:rsid w:val="00700F10"/>
    <w:rsid w:val="00727A7F"/>
    <w:rsid w:val="00743A66"/>
    <w:rsid w:val="007D4670"/>
    <w:rsid w:val="00801BF5"/>
    <w:rsid w:val="00861AEC"/>
    <w:rsid w:val="008654C7"/>
    <w:rsid w:val="00870FD8"/>
    <w:rsid w:val="009C05E9"/>
    <w:rsid w:val="00A14D94"/>
    <w:rsid w:val="00AD6EC6"/>
    <w:rsid w:val="00B129A1"/>
    <w:rsid w:val="00BF65E2"/>
    <w:rsid w:val="00C16AF1"/>
    <w:rsid w:val="00C4712B"/>
    <w:rsid w:val="00C90A63"/>
    <w:rsid w:val="00CA44B1"/>
    <w:rsid w:val="00CD66EE"/>
    <w:rsid w:val="00D171EB"/>
    <w:rsid w:val="00D31D48"/>
    <w:rsid w:val="00DB7594"/>
    <w:rsid w:val="00DE6D91"/>
    <w:rsid w:val="00E26182"/>
    <w:rsid w:val="00E723A0"/>
    <w:rsid w:val="00F3414B"/>
    <w:rsid w:val="010E5FC1"/>
    <w:rsid w:val="02015A8D"/>
    <w:rsid w:val="0599CED5"/>
    <w:rsid w:val="12224886"/>
    <w:rsid w:val="13D6A876"/>
    <w:rsid w:val="1923E94A"/>
    <w:rsid w:val="199CEB2A"/>
    <w:rsid w:val="1E5733F0"/>
    <w:rsid w:val="1EB5206B"/>
    <w:rsid w:val="201AD773"/>
    <w:rsid w:val="23DAA007"/>
    <w:rsid w:val="2BCF3A04"/>
    <w:rsid w:val="31311673"/>
    <w:rsid w:val="3210C66E"/>
    <w:rsid w:val="3315FC9E"/>
    <w:rsid w:val="381C2786"/>
    <w:rsid w:val="394CC111"/>
    <w:rsid w:val="3AFE4845"/>
    <w:rsid w:val="3D921724"/>
    <w:rsid w:val="404C7C38"/>
    <w:rsid w:val="42248044"/>
    <w:rsid w:val="4FBA9294"/>
    <w:rsid w:val="51F6A9E5"/>
    <w:rsid w:val="52794E79"/>
    <w:rsid w:val="5316C0F3"/>
    <w:rsid w:val="54FF9381"/>
    <w:rsid w:val="5610ABBB"/>
    <w:rsid w:val="56EFB8AA"/>
    <w:rsid w:val="697D9E5A"/>
    <w:rsid w:val="7AC0BE71"/>
    <w:rsid w:val="7AD7ADD0"/>
    <w:rsid w:val="7C9AF9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48044"/>
  <w15:chartTrackingRefBased/>
  <w15:docId w15:val="{5C50532D-09E3-4301-9997-816439A7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fESOutNumbered">
    <w:name w:val="DfESOutNumbered"/>
    <w:basedOn w:val="Normal"/>
    <w:link w:val="DfESOutNumberedChar"/>
    <w:rsid w:val="00AD6EC6"/>
    <w:pPr>
      <w:widowControl w:val="0"/>
      <w:numPr>
        <w:numId w:val="2"/>
      </w:numPr>
      <w:overflowPunct w:val="0"/>
      <w:autoSpaceDE w:val="0"/>
      <w:autoSpaceDN w:val="0"/>
      <w:adjustRightInd w:val="0"/>
      <w:spacing w:after="240" w:line="240" w:lineRule="auto"/>
      <w:textAlignment w:val="baseline"/>
    </w:pPr>
    <w:rPr>
      <w:rFonts w:ascii="Arial" w:eastAsia="Times New Roman" w:hAnsi="Arial" w:cs="Arial"/>
      <w:szCs w:val="20"/>
    </w:rPr>
  </w:style>
  <w:style w:type="character" w:customStyle="1" w:styleId="DfESOutNumberedChar">
    <w:name w:val="DfESOutNumbered Char"/>
    <w:basedOn w:val="DefaultParagraphFont"/>
    <w:link w:val="DfESOutNumbered"/>
    <w:rsid w:val="00AD6EC6"/>
    <w:rPr>
      <w:rFonts w:ascii="Arial" w:eastAsia="Times New Roman" w:hAnsi="Arial" w:cs="Arial"/>
      <w:szCs w:val="20"/>
    </w:rPr>
  </w:style>
  <w:style w:type="paragraph" w:customStyle="1" w:styleId="DeptBullets">
    <w:name w:val="DeptBullets"/>
    <w:basedOn w:val="Normal"/>
    <w:link w:val="DeptBulletsChar"/>
    <w:rsid w:val="00AD6EC6"/>
    <w:pPr>
      <w:widowControl w:val="0"/>
      <w:numPr>
        <w:numId w:val="4"/>
      </w:numPr>
      <w:overflowPunct w:val="0"/>
      <w:autoSpaceDE w:val="0"/>
      <w:autoSpaceDN w:val="0"/>
      <w:adjustRightInd w:val="0"/>
      <w:spacing w:after="240" w:line="240" w:lineRule="auto"/>
      <w:textAlignment w:val="baseline"/>
    </w:pPr>
    <w:rPr>
      <w:rFonts w:ascii="Arial" w:eastAsia="Times New Roman" w:hAnsi="Arial" w:cs="Times New Roman"/>
      <w:sz w:val="24"/>
      <w:szCs w:val="20"/>
    </w:rPr>
  </w:style>
  <w:style w:type="character" w:customStyle="1" w:styleId="DeptBulletsChar">
    <w:name w:val="DeptBullets Char"/>
    <w:basedOn w:val="DefaultParagraphFont"/>
    <w:link w:val="DeptBullets"/>
    <w:rsid w:val="00AD6EC6"/>
    <w:rPr>
      <w:rFonts w:ascii="Arial" w:eastAsia="Times New Roman" w:hAnsi="Arial" w:cs="Times New Roman"/>
      <w:sz w:val="24"/>
      <w:szCs w:val="20"/>
    </w:rPr>
  </w:style>
  <w:style w:type="paragraph" w:customStyle="1" w:styleId="Logos">
    <w:name w:val="Logos"/>
    <w:basedOn w:val="Normal"/>
    <w:link w:val="LogosChar"/>
    <w:rsid w:val="00CA44B1"/>
    <w:pPr>
      <w:pageBreakBefore/>
      <w:widowControl w:val="0"/>
      <w:spacing w:after="240" w:line="288" w:lineRule="auto"/>
    </w:pPr>
    <w:rPr>
      <w:rFonts w:ascii="Arial" w:eastAsia="Times New Roman" w:hAnsi="Arial" w:cs="Times New Roman"/>
      <w:noProof/>
      <w:color w:val="0D0D0D" w:themeColor="text1" w:themeTint="F2"/>
      <w:sz w:val="24"/>
      <w:szCs w:val="24"/>
      <w:lang w:eastAsia="en-GB"/>
    </w:rPr>
  </w:style>
  <w:style w:type="character" w:customStyle="1" w:styleId="LogosChar">
    <w:name w:val="Logos Char"/>
    <w:basedOn w:val="DefaultParagraphFont"/>
    <w:link w:val="Logos"/>
    <w:rsid w:val="00CA44B1"/>
    <w:rPr>
      <w:rFonts w:ascii="Arial" w:eastAsia="Times New Roman" w:hAnsi="Arial" w:cs="Times New Roman"/>
      <w:noProof/>
      <w:color w:val="0D0D0D" w:themeColor="text1" w:themeTint="F2"/>
      <w:sz w:val="24"/>
      <w:szCs w:val="24"/>
      <w:lang w:eastAsia="en-GB"/>
    </w:rPr>
  </w:style>
  <w:style w:type="character" w:styleId="CommentReference">
    <w:name w:val="annotation reference"/>
    <w:basedOn w:val="DefaultParagraphFont"/>
    <w:uiPriority w:val="99"/>
    <w:semiHidden/>
    <w:unhideWhenUsed/>
    <w:rsid w:val="00B129A1"/>
    <w:rPr>
      <w:sz w:val="16"/>
      <w:szCs w:val="16"/>
    </w:rPr>
  </w:style>
  <w:style w:type="paragraph" w:styleId="CommentText">
    <w:name w:val="annotation text"/>
    <w:basedOn w:val="Normal"/>
    <w:link w:val="CommentTextChar"/>
    <w:uiPriority w:val="99"/>
    <w:unhideWhenUsed/>
    <w:rsid w:val="00B129A1"/>
    <w:pPr>
      <w:spacing w:line="240" w:lineRule="auto"/>
    </w:pPr>
    <w:rPr>
      <w:sz w:val="20"/>
      <w:szCs w:val="20"/>
    </w:rPr>
  </w:style>
  <w:style w:type="character" w:customStyle="1" w:styleId="CommentTextChar">
    <w:name w:val="Comment Text Char"/>
    <w:basedOn w:val="DefaultParagraphFont"/>
    <w:link w:val="CommentText"/>
    <w:uiPriority w:val="99"/>
    <w:rsid w:val="00B129A1"/>
    <w:rPr>
      <w:sz w:val="20"/>
      <w:szCs w:val="20"/>
    </w:rPr>
  </w:style>
  <w:style w:type="paragraph" w:styleId="CommentSubject">
    <w:name w:val="annotation subject"/>
    <w:basedOn w:val="CommentText"/>
    <w:next w:val="CommentText"/>
    <w:link w:val="CommentSubjectChar"/>
    <w:uiPriority w:val="99"/>
    <w:semiHidden/>
    <w:unhideWhenUsed/>
    <w:rsid w:val="00B129A1"/>
    <w:rPr>
      <w:b/>
      <w:bCs/>
    </w:rPr>
  </w:style>
  <w:style w:type="character" w:customStyle="1" w:styleId="CommentSubjectChar">
    <w:name w:val="Comment Subject Char"/>
    <w:basedOn w:val="CommentTextChar"/>
    <w:link w:val="CommentSubject"/>
    <w:uiPriority w:val="99"/>
    <w:semiHidden/>
    <w:rsid w:val="00B129A1"/>
    <w:rPr>
      <w:b/>
      <w:bCs/>
      <w:sz w:val="20"/>
      <w:szCs w:val="20"/>
    </w:rPr>
  </w:style>
  <w:style w:type="paragraph" w:customStyle="1" w:styleId="paragraph">
    <w:name w:val="paragraph"/>
    <w:basedOn w:val="Normal"/>
    <w:rsid w:val="003E026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3E0260"/>
  </w:style>
  <w:style w:type="character" w:customStyle="1" w:styleId="eop">
    <w:name w:val="eop"/>
    <w:basedOn w:val="DefaultParagraphFont"/>
    <w:rsid w:val="003E02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337653">
      <w:bodyDiv w:val="1"/>
      <w:marLeft w:val="0"/>
      <w:marRight w:val="0"/>
      <w:marTop w:val="0"/>
      <w:marBottom w:val="0"/>
      <w:divBdr>
        <w:top w:val="none" w:sz="0" w:space="0" w:color="auto"/>
        <w:left w:val="none" w:sz="0" w:space="0" w:color="auto"/>
        <w:bottom w:val="none" w:sz="0" w:space="0" w:color="auto"/>
        <w:right w:val="none" w:sz="0" w:space="0" w:color="auto"/>
      </w:divBdr>
      <w:divsChild>
        <w:div w:id="1313027746">
          <w:marLeft w:val="0"/>
          <w:marRight w:val="0"/>
          <w:marTop w:val="0"/>
          <w:marBottom w:val="0"/>
          <w:divBdr>
            <w:top w:val="none" w:sz="0" w:space="0" w:color="auto"/>
            <w:left w:val="none" w:sz="0" w:space="0" w:color="auto"/>
            <w:bottom w:val="none" w:sz="0" w:space="0" w:color="auto"/>
            <w:right w:val="none" w:sz="0" w:space="0" w:color="auto"/>
          </w:divBdr>
        </w:div>
        <w:div w:id="112480339">
          <w:marLeft w:val="0"/>
          <w:marRight w:val="0"/>
          <w:marTop w:val="0"/>
          <w:marBottom w:val="0"/>
          <w:divBdr>
            <w:top w:val="none" w:sz="0" w:space="0" w:color="auto"/>
            <w:left w:val="none" w:sz="0" w:space="0" w:color="auto"/>
            <w:bottom w:val="none" w:sz="0" w:space="0" w:color="auto"/>
            <w:right w:val="none" w:sz="0" w:space="0" w:color="auto"/>
          </w:divBdr>
        </w:div>
        <w:div w:id="556430063">
          <w:marLeft w:val="0"/>
          <w:marRight w:val="0"/>
          <w:marTop w:val="0"/>
          <w:marBottom w:val="0"/>
          <w:divBdr>
            <w:top w:val="none" w:sz="0" w:space="0" w:color="auto"/>
            <w:left w:val="none" w:sz="0" w:space="0" w:color="auto"/>
            <w:bottom w:val="none" w:sz="0" w:space="0" w:color="auto"/>
            <w:right w:val="none" w:sz="0" w:space="0" w:color="auto"/>
          </w:divBdr>
        </w:div>
        <w:div w:id="1386678658">
          <w:marLeft w:val="0"/>
          <w:marRight w:val="0"/>
          <w:marTop w:val="0"/>
          <w:marBottom w:val="0"/>
          <w:divBdr>
            <w:top w:val="none" w:sz="0" w:space="0" w:color="auto"/>
            <w:left w:val="none" w:sz="0" w:space="0" w:color="auto"/>
            <w:bottom w:val="none" w:sz="0" w:space="0" w:color="auto"/>
            <w:right w:val="none" w:sz="0" w:space="0" w:color="auto"/>
          </w:divBdr>
        </w:div>
        <w:div w:id="1431195774">
          <w:marLeft w:val="0"/>
          <w:marRight w:val="0"/>
          <w:marTop w:val="0"/>
          <w:marBottom w:val="0"/>
          <w:divBdr>
            <w:top w:val="none" w:sz="0" w:space="0" w:color="auto"/>
            <w:left w:val="none" w:sz="0" w:space="0" w:color="auto"/>
            <w:bottom w:val="none" w:sz="0" w:space="0" w:color="auto"/>
            <w:right w:val="none" w:sz="0" w:space="0" w:color="auto"/>
          </w:divBdr>
        </w:div>
        <w:div w:id="318340511">
          <w:marLeft w:val="0"/>
          <w:marRight w:val="0"/>
          <w:marTop w:val="0"/>
          <w:marBottom w:val="0"/>
          <w:divBdr>
            <w:top w:val="none" w:sz="0" w:space="0" w:color="auto"/>
            <w:left w:val="none" w:sz="0" w:space="0" w:color="auto"/>
            <w:bottom w:val="none" w:sz="0" w:space="0" w:color="auto"/>
            <w:right w:val="none" w:sz="0" w:space="0" w:color="auto"/>
          </w:divBdr>
        </w:div>
        <w:div w:id="1734617470">
          <w:marLeft w:val="0"/>
          <w:marRight w:val="0"/>
          <w:marTop w:val="0"/>
          <w:marBottom w:val="0"/>
          <w:divBdr>
            <w:top w:val="none" w:sz="0" w:space="0" w:color="auto"/>
            <w:left w:val="none" w:sz="0" w:space="0" w:color="auto"/>
            <w:bottom w:val="none" w:sz="0" w:space="0" w:color="auto"/>
            <w:right w:val="none" w:sz="0" w:space="0" w:color="auto"/>
          </w:divBdr>
        </w:div>
        <w:div w:id="1775902576">
          <w:marLeft w:val="0"/>
          <w:marRight w:val="0"/>
          <w:marTop w:val="0"/>
          <w:marBottom w:val="0"/>
          <w:divBdr>
            <w:top w:val="none" w:sz="0" w:space="0" w:color="auto"/>
            <w:left w:val="none" w:sz="0" w:space="0" w:color="auto"/>
            <w:bottom w:val="none" w:sz="0" w:space="0" w:color="auto"/>
            <w:right w:val="none" w:sz="0" w:space="0" w:color="auto"/>
          </w:divBdr>
        </w:div>
        <w:div w:id="308441503">
          <w:marLeft w:val="0"/>
          <w:marRight w:val="0"/>
          <w:marTop w:val="0"/>
          <w:marBottom w:val="0"/>
          <w:divBdr>
            <w:top w:val="none" w:sz="0" w:space="0" w:color="auto"/>
            <w:left w:val="none" w:sz="0" w:space="0" w:color="auto"/>
            <w:bottom w:val="none" w:sz="0" w:space="0" w:color="auto"/>
            <w:right w:val="none" w:sz="0" w:space="0" w:color="auto"/>
          </w:divBdr>
        </w:div>
        <w:div w:id="152458168">
          <w:marLeft w:val="0"/>
          <w:marRight w:val="0"/>
          <w:marTop w:val="0"/>
          <w:marBottom w:val="0"/>
          <w:divBdr>
            <w:top w:val="none" w:sz="0" w:space="0" w:color="auto"/>
            <w:left w:val="none" w:sz="0" w:space="0" w:color="auto"/>
            <w:bottom w:val="none" w:sz="0" w:space="0" w:color="auto"/>
            <w:right w:val="none" w:sz="0" w:space="0" w:color="auto"/>
          </w:divBdr>
        </w:div>
        <w:div w:id="1759713427">
          <w:marLeft w:val="0"/>
          <w:marRight w:val="0"/>
          <w:marTop w:val="0"/>
          <w:marBottom w:val="0"/>
          <w:divBdr>
            <w:top w:val="none" w:sz="0" w:space="0" w:color="auto"/>
            <w:left w:val="none" w:sz="0" w:space="0" w:color="auto"/>
            <w:bottom w:val="none" w:sz="0" w:space="0" w:color="auto"/>
            <w:right w:val="none" w:sz="0" w:space="0" w:color="auto"/>
          </w:divBdr>
        </w:div>
        <w:div w:id="1444573114">
          <w:marLeft w:val="0"/>
          <w:marRight w:val="0"/>
          <w:marTop w:val="0"/>
          <w:marBottom w:val="0"/>
          <w:divBdr>
            <w:top w:val="none" w:sz="0" w:space="0" w:color="auto"/>
            <w:left w:val="none" w:sz="0" w:space="0" w:color="auto"/>
            <w:bottom w:val="none" w:sz="0" w:space="0" w:color="auto"/>
            <w:right w:val="none" w:sz="0" w:space="0" w:color="auto"/>
          </w:divBdr>
        </w:div>
        <w:div w:id="1322656508">
          <w:marLeft w:val="0"/>
          <w:marRight w:val="0"/>
          <w:marTop w:val="0"/>
          <w:marBottom w:val="0"/>
          <w:divBdr>
            <w:top w:val="none" w:sz="0" w:space="0" w:color="auto"/>
            <w:left w:val="none" w:sz="0" w:space="0" w:color="auto"/>
            <w:bottom w:val="none" w:sz="0" w:space="0" w:color="auto"/>
            <w:right w:val="none" w:sz="0" w:space="0" w:color="auto"/>
          </w:divBdr>
        </w:div>
        <w:div w:id="953099612">
          <w:marLeft w:val="0"/>
          <w:marRight w:val="0"/>
          <w:marTop w:val="0"/>
          <w:marBottom w:val="0"/>
          <w:divBdr>
            <w:top w:val="none" w:sz="0" w:space="0" w:color="auto"/>
            <w:left w:val="none" w:sz="0" w:space="0" w:color="auto"/>
            <w:bottom w:val="none" w:sz="0" w:space="0" w:color="auto"/>
            <w:right w:val="none" w:sz="0" w:space="0" w:color="auto"/>
          </w:divBdr>
        </w:div>
        <w:div w:id="1115173910">
          <w:marLeft w:val="0"/>
          <w:marRight w:val="0"/>
          <w:marTop w:val="0"/>
          <w:marBottom w:val="0"/>
          <w:divBdr>
            <w:top w:val="none" w:sz="0" w:space="0" w:color="auto"/>
            <w:left w:val="none" w:sz="0" w:space="0" w:color="auto"/>
            <w:bottom w:val="none" w:sz="0" w:space="0" w:color="auto"/>
            <w:right w:val="none" w:sz="0" w:space="0" w:color="auto"/>
          </w:divBdr>
        </w:div>
        <w:div w:id="1169249485">
          <w:marLeft w:val="0"/>
          <w:marRight w:val="0"/>
          <w:marTop w:val="0"/>
          <w:marBottom w:val="0"/>
          <w:divBdr>
            <w:top w:val="none" w:sz="0" w:space="0" w:color="auto"/>
            <w:left w:val="none" w:sz="0" w:space="0" w:color="auto"/>
            <w:bottom w:val="none" w:sz="0" w:space="0" w:color="auto"/>
            <w:right w:val="none" w:sz="0" w:space="0" w:color="auto"/>
          </w:divBdr>
        </w:div>
        <w:div w:id="1662390150">
          <w:marLeft w:val="0"/>
          <w:marRight w:val="0"/>
          <w:marTop w:val="0"/>
          <w:marBottom w:val="0"/>
          <w:divBdr>
            <w:top w:val="none" w:sz="0" w:space="0" w:color="auto"/>
            <w:left w:val="none" w:sz="0" w:space="0" w:color="auto"/>
            <w:bottom w:val="none" w:sz="0" w:space="0" w:color="auto"/>
            <w:right w:val="none" w:sz="0" w:space="0" w:color="auto"/>
          </w:divBdr>
        </w:div>
        <w:div w:id="464003229">
          <w:marLeft w:val="0"/>
          <w:marRight w:val="0"/>
          <w:marTop w:val="0"/>
          <w:marBottom w:val="0"/>
          <w:divBdr>
            <w:top w:val="none" w:sz="0" w:space="0" w:color="auto"/>
            <w:left w:val="none" w:sz="0" w:space="0" w:color="auto"/>
            <w:bottom w:val="none" w:sz="0" w:space="0" w:color="auto"/>
            <w:right w:val="none" w:sz="0" w:space="0" w:color="auto"/>
          </w:divBdr>
        </w:div>
        <w:div w:id="1164397763">
          <w:marLeft w:val="0"/>
          <w:marRight w:val="0"/>
          <w:marTop w:val="0"/>
          <w:marBottom w:val="0"/>
          <w:divBdr>
            <w:top w:val="none" w:sz="0" w:space="0" w:color="auto"/>
            <w:left w:val="none" w:sz="0" w:space="0" w:color="auto"/>
            <w:bottom w:val="none" w:sz="0" w:space="0" w:color="auto"/>
            <w:right w:val="none" w:sz="0" w:space="0" w:color="auto"/>
          </w:divBdr>
        </w:div>
        <w:div w:id="1812867015">
          <w:marLeft w:val="0"/>
          <w:marRight w:val="0"/>
          <w:marTop w:val="0"/>
          <w:marBottom w:val="0"/>
          <w:divBdr>
            <w:top w:val="none" w:sz="0" w:space="0" w:color="auto"/>
            <w:left w:val="none" w:sz="0" w:space="0" w:color="auto"/>
            <w:bottom w:val="none" w:sz="0" w:space="0" w:color="auto"/>
            <w:right w:val="none" w:sz="0" w:space="0" w:color="auto"/>
          </w:divBdr>
        </w:div>
        <w:div w:id="190848582">
          <w:marLeft w:val="0"/>
          <w:marRight w:val="0"/>
          <w:marTop w:val="0"/>
          <w:marBottom w:val="0"/>
          <w:divBdr>
            <w:top w:val="none" w:sz="0" w:space="0" w:color="auto"/>
            <w:left w:val="none" w:sz="0" w:space="0" w:color="auto"/>
            <w:bottom w:val="none" w:sz="0" w:space="0" w:color="auto"/>
            <w:right w:val="none" w:sz="0" w:space="0" w:color="auto"/>
          </w:divBdr>
        </w:div>
        <w:div w:id="1907642632">
          <w:marLeft w:val="0"/>
          <w:marRight w:val="0"/>
          <w:marTop w:val="0"/>
          <w:marBottom w:val="0"/>
          <w:divBdr>
            <w:top w:val="none" w:sz="0" w:space="0" w:color="auto"/>
            <w:left w:val="none" w:sz="0" w:space="0" w:color="auto"/>
            <w:bottom w:val="none" w:sz="0" w:space="0" w:color="auto"/>
            <w:right w:val="none" w:sz="0" w:space="0" w:color="auto"/>
          </w:divBdr>
        </w:div>
        <w:div w:id="1119375780">
          <w:marLeft w:val="0"/>
          <w:marRight w:val="0"/>
          <w:marTop w:val="0"/>
          <w:marBottom w:val="0"/>
          <w:divBdr>
            <w:top w:val="none" w:sz="0" w:space="0" w:color="auto"/>
            <w:left w:val="none" w:sz="0" w:space="0" w:color="auto"/>
            <w:bottom w:val="none" w:sz="0" w:space="0" w:color="auto"/>
            <w:right w:val="none" w:sz="0" w:space="0" w:color="auto"/>
          </w:divBdr>
        </w:div>
        <w:div w:id="258875407">
          <w:marLeft w:val="0"/>
          <w:marRight w:val="0"/>
          <w:marTop w:val="0"/>
          <w:marBottom w:val="0"/>
          <w:divBdr>
            <w:top w:val="none" w:sz="0" w:space="0" w:color="auto"/>
            <w:left w:val="none" w:sz="0" w:space="0" w:color="auto"/>
            <w:bottom w:val="none" w:sz="0" w:space="0" w:color="auto"/>
            <w:right w:val="none" w:sz="0" w:space="0" w:color="auto"/>
          </w:divBdr>
        </w:div>
        <w:div w:id="7028462">
          <w:marLeft w:val="0"/>
          <w:marRight w:val="0"/>
          <w:marTop w:val="0"/>
          <w:marBottom w:val="0"/>
          <w:divBdr>
            <w:top w:val="none" w:sz="0" w:space="0" w:color="auto"/>
            <w:left w:val="none" w:sz="0" w:space="0" w:color="auto"/>
            <w:bottom w:val="none" w:sz="0" w:space="0" w:color="auto"/>
            <w:right w:val="none" w:sz="0" w:space="0" w:color="auto"/>
          </w:divBdr>
        </w:div>
        <w:div w:id="954672593">
          <w:marLeft w:val="0"/>
          <w:marRight w:val="0"/>
          <w:marTop w:val="0"/>
          <w:marBottom w:val="0"/>
          <w:divBdr>
            <w:top w:val="none" w:sz="0" w:space="0" w:color="auto"/>
            <w:left w:val="none" w:sz="0" w:space="0" w:color="auto"/>
            <w:bottom w:val="none" w:sz="0" w:space="0" w:color="auto"/>
            <w:right w:val="none" w:sz="0" w:space="0" w:color="auto"/>
          </w:divBdr>
        </w:div>
        <w:div w:id="1648315799">
          <w:marLeft w:val="0"/>
          <w:marRight w:val="0"/>
          <w:marTop w:val="0"/>
          <w:marBottom w:val="0"/>
          <w:divBdr>
            <w:top w:val="none" w:sz="0" w:space="0" w:color="auto"/>
            <w:left w:val="none" w:sz="0" w:space="0" w:color="auto"/>
            <w:bottom w:val="none" w:sz="0" w:space="0" w:color="auto"/>
            <w:right w:val="none" w:sz="0" w:space="0" w:color="auto"/>
          </w:divBdr>
        </w:div>
        <w:div w:id="1010522502">
          <w:marLeft w:val="0"/>
          <w:marRight w:val="0"/>
          <w:marTop w:val="0"/>
          <w:marBottom w:val="0"/>
          <w:divBdr>
            <w:top w:val="none" w:sz="0" w:space="0" w:color="auto"/>
            <w:left w:val="none" w:sz="0" w:space="0" w:color="auto"/>
            <w:bottom w:val="none" w:sz="0" w:space="0" w:color="auto"/>
            <w:right w:val="none" w:sz="0" w:space="0" w:color="auto"/>
          </w:divBdr>
        </w:div>
        <w:div w:id="2085296668">
          <w:marLeft w:val="0"/>
          <w:marRight w:val="0"/>
          <w:marTop w:val="0"/>
          <w:marBottom w:val="0"/>
          <w:divBdr>
            <w:top w:val="none" w:sz="0" w:space="0" w:color="auto"/>
            <w:left w:val="none" w:sz="0" w:space="0" w:color="auto"/>
            <w:bottom w:val="none" w:sz="0" w:space="0" w:color="auto"/>
            <w:right w:val="none" w:sz="0" w:space="0" w:color="auto"/>
          </w:divBdr>
        </w:div>
        <w:div w:id="878325058">
          <w:marLeft w:val="0"/>
          <w:marRight w:val="0"/>
          <w:marTop w:val="0"/>
          <w:marBottom w:val="0"/>
          <w:divBdr>
            <w:top w:val="none" w:sz="0" w:space="0" w:color="auto"/>
            <w:left w:val="none" w:sz="0" w:space="0" w:color="auto"/>
            <w:bottom w:val="none" w:sz="0" w:space="0" w:color="auto"/>
            <w:right w:val="none" w:sz="0" w:space="0" w:color="auto"/>
          </w:divBdr>
        </w:div>
        <w:div w:id="1367565497">
          <w:marLeft w:val="0"/>
          <w:marRight w:val="0"/>
          <w:marTop w:val="0"/>
          <w:marBottom w:val="0"/>
          <w:divBdr>
            <w:top w:val="none" w:sz="0" w:space="0" w:color="auto"/>
            <w:left w:val="none" w:sz="0" w:space="0" w:color="auto"/>
            <w:bottom w:val="none" w:sz="0" w:space="0" w:color="auto"/>
            <w:right w:val="none" w:sz="0" w:space="0" w:color="auto"/>
          </w:divBdr>
        </w:div>
        <w:div w:id="1103263507">
          <w:marLeft w:val="0"/>
          <w:marRight w:val="0"/>
          <w:marTop w:val="0"/>
          <w:marBottom w:val="0"/>
          <w:divBdr>
            <w:top w:val="none" w:sz="0" w:space="0" w:color="auto"/>
            <w:left w:val="none" w:sz="0" w:space="0" w:color="auto"/>
            <w:bottom w:val="none" w:sz="0" w:space="0" w:color="auto"/>
            <w:right w:val="none" w:sz="0" w:space="0" w:color="auto"/>
          </w:divBdr>
        </w:div>
        <w:div w:id="1309746929">
          <w:marLeft w:val="0"/>
          <w:marRight w:val="0"/>
          <w:marTop w:val="0"/>
          <w:marBottom w:val="0"/>
          <w:divBdr>
            <w:top w:val="none" w:sz="0" w:space="0" w:color="auto"/>
            <w:left w:val="none" w:sz="0" w:space="0" w:color="auto"/>
            <w:bottom w:val="none" w:sz="0" w:space="0" w:color="auto"/>
            <w:right w:val="none" w:sz="0" w:space="0" w:color="auto"/>
          </w:divBdr>
        </w:div>
        <w:div w:id="1893733254">
          <w:marLeft w:val="0"/>
          <w:marRight w:val="0"/>
          <w:marTop w:val="0"/>
          <w:marBottom w:val="0"/>
          <w:divBdr>
            <w:top w:val="none" w:sz="0" w:space="0" w:color="auto"/>
            <w:left w:val="none" w:sz="0" w:space="0" w:color="auto"/>
            <w:bottom w:val="none" w:sz="0" w:space="0" w:color="auto"/>
            <w:right w:val="none" w:sz="0" w:space="0" w:color="auto"/>
          </w:divBdr>
        </w:div>
        <w:div w:id="56325273">
          <w:marLeft w:val="0"/>
          <w:marRight w:val="0"/>
          <w:marTop w:val="0"/>
          <w:marBottom w:val="0"/>
          <w:divBdr>
            <w:top w:val="none" w:sz="0" w:space="0" w:color="auto"/>
            <w:left w:val="none" w:sz="0" w:space="0" w:color="auto"/>
            <w:bottom w:val="none" w:sz="0" w:space="0" w:color="auto"/>
            <w:right w:val="none" w:sz="0" w:space="0" w:color="auto"/>
          </w:divBdr>
        </w:div>
        <w:div w:id="834341670">
          <w:marLeft w:val="0"/>
          <w:marRight w:val="0"/>
          <w:marTop w:val="0"/>
          <w:marBottom w:val="0"/>
          <w:divBdr>
            <w:top w:val="none" w:sz="0" w:space="0" w:color="auto"/>
            <w:left w:val="none" w:sz="0" w:space="0" w:color="auto"/>
            <w:bottom w:val="none" w:sz="0" w:space="0" w:color="auto"/>
            <w:right w:val="none" w:sz="0" w:space="0" w:color="auto"/>
          </w:divBdr>
        </w:div>
        <w:div w:id="1032655943">
          <w:marLeft w:val="0"/>
          <w:marRight w:val="0"/>
          <w:marTop w:val="0"/>
          <w:marBottom w:val="0"/>
          <w:divBdr>
            <w:top w:val="none" w:sz="0" w:space="0" w:color="auto"/>
            <w:left w:val="none" w:sz="0" w:space="0" w:color="auto"/>
            <w:bottom w:val="none" w:sz="0" w:space="0" w:color="auto"/>
            <w:right w:val="none" w:sz="0" w:space="0" w:color="auto"/>
          </w:divBdr>
        </w:div>
        <w:div w:id="27073662">
          <w:marLeft w:val="0"/>
          <w:marRight w:val="0"/>
          <w:marTop w:val="0"/>
          <w:marBottom w:val="0"/>
          <w:divBdr>
            <w:top w:val="none" w:sz="0" w:space="0" w:color="auto"/>
            <w:left w:val="none" w:sz="0" w:space="0" w:color="auto"/>
            <w:bottom w:val="none" w:sz="0" w:space="0" w:color="auto"/>
            <w:right w:val="none" w:sz="0" w:space="0" w:color="auto"/>
          </w:divBdr>
        </w:div>
        <w:div w:id="429665708">
          <w:marLeft w:val="0"/>
          <w:marRight w:val="0"/>
          <w:marTop w:val="0"/>
          <w:marBottom w:val="0"/>
          <w:divBdr>
            <w:top w:val="none" w:sz="0" w:space="0" w:color="auto"/>
            <w:left w:val="none" w:sz="0" w:space="0" w:color="auto"/>
            <w:bottom w:val="none" w:sz="0" w:space="0" w:color="auto"/>
            <w:right w:val="none" w:sz="0" w:space="0" w:color="auto"/>
          </w:divBdr>
        </w:div>
        <w:div w:id="648752717">
          <w:marLeft w:val="0"/>
          <w:marRight w:val="0"/>
          <w:marTop w:val="0"/>
          <w:marBottom w:val="0"/>
          <w:divBdr>
            <w:top w:val="none" w:sz="0" w:space="0" w:color="auto"/>
            <w:left w:val="none" w:sz="0" w:space="0" w:color="auto"/>
            <w:bottom w:val="none" w:sz="0" w:space="0" w:color="auto"/>
            <w:right w:val="none" w:sz="0" w:space="0" w:color="auto"/>
          </w:divBdr>
        </w:div>
        <w:div w:id="1232423505">
          <w:marLeft w:val="0"/>
          <w:marRight w:val="0"/>
          <w:marTop w:val="0"/>
          <w:marBottom w:val="0"/>
          <w:divBdr>
            <w:top w:val="none" w:sz="0" w:space="0" w:color="auto"/>
            <w:left w:val="none" w:sz="0" w:space="0" w:color="auto"/>
            <w:bottom w:val="none" w:sz="0" w:space="0" w:color="auto"/>
            <w:right w:val="none" w:sz="0" w:space="0" w:color="auto"/>
          </w:divBdr>
        </w:div>
        <w:div w:id="758715596">
          <w:marLeft w:val="0"/>
          <w:marRight w:val="0"/>
          <w:marTop w:val="0"/>
          <w:marBottom w:val="0"/>
          <w:divBdr>
            <w:top w:val="none" w:sz="0" w:space="0" w:color="auto"/>
            <w:left w:val="none" w:sz="0" w:space="0" w:color="auto"/>
            <w:bottom w:val="none" w:sz="0" w:space="0" w:color="auto"/>
            <w:right w:val="none" w:sz="0" w:space="0" w:color="auto"/>
          </w:divBdr>
        </w:div>
        <w:div w:id="1784955813">
          <w:marLeft w:val="0"/>
          <w:marRight w:val="0"/>
          <w:marTop w:val="0"/>
          <w:marBottom w:val="0"/>
          <w:divBdr>
            <w:top w:val="none" w:sz="0" w:space="0" w:color="auto"/>
            <w:left w:val="none" w:sz="0" w:space="0" w:color="auto"/>
            <w:bottom w:val="none" w:sz="0" w:space="0" w:color="auto"/>
            <w:right w:val="none" w:sz="0" w:space="0" w:color="auto"/>
          </w:divBdr>
        </w:div>
        <w:div w:id="568271285">
          <w:marLeft w:val="0"/>
          <w:marRight w:val="0"/>
          <w:marTop w:val="0"/>
          <w:marBottom w:val="0"/>
          <w:divBdr>
            <w:top w:val="none" w:sz="0" w:space="0" w:color="auto"/>
            <w:left w:val="none" w:sz="0" w:space="0" w:color="auto"/>
            <w:bottom w:val="none" w:sz="0" w:space="0" w:color="auto"/>
            <w:right w:val="none" w:sz="0" w:space="0" w:color="auto"/>
          </w:divBdr>
        </w:div>
        <w:div w:id="880246195">
          <w:marLeft w:val="0"/>
          <w:marRight w:val="0"/>
          <w:marTop w:val="0"/>
          <w:marBottom w:val="0"/>
          <w:divBdr>
            <w:top w:val="none" w:sz="0" w:space="0" w:color="auto"/>
            <w:left w:val="none" w:sz="0" w:space="0" w:color="auto"/>
            <w:bottom w:val="none" w:sz="0" w:space="0" w:color="auto"/>
            <w:right w:val="none" w:sz="0" w:space="0" w:color="auto"/>
          </w:divBdr>
        </w:div>
        <w:div w:id="2008098276">
          <w:marLeft w:val="0"/>
          <w:marRight w:val="0"/>
          <w:marTop w:val="0"/>
          <w:marBottom w:val="0"/>
          <w:divBdr>
            <w:top w:val="none" w:sz="0" w:space="0" w:color="auto"/>
            <w:left w:val="none" w:sz="0" w:space="0" w:color="auto"/>
            <w:bottom w:val="none" w:sz="0" w:space="0" w:color="auto"/>
            <w:right w:val="none" w:sz="0" w:space="0" w:color="auto"/>
          </w:divBdr>
        </w:div>
        <w:div w:id="981810282">
          <w:marLeft w:val="0"/>
          <w:marRight w:val="0"/>
          <w:marTop w:val="0"/>
          <w:marBottom w:val="0"/>
          <w:divBdr>
            <w:top w:val="none" w:sz="0" w:space="0" w:color="auto"/>
            <w:left w:val="none" w:sz="0" w:space="0" w:color="auto"/>
            <w:bottom w:val="none" w:sz="0" w:space="0" w:color="auto"/>
            <w:right w:val="none" w:sz="0" w:space="0" w:color="auto"/>
          </w:divBdr>
        </w:div>
        <w:div w:id="1233078183">
          <w:marLeft w:val="0"/>
          <w:marRight w:val="0"/>
          <w:marTop w:val="0"/>
          <w:marBottom w:val="0"/>
          <w:divBdr>
            <w:top w:val="none" w:sz="0" w:space="0" w:color="auto"/>
            <w:left w:val="none" w:sz="0" w:space="0" w:color="auto"/>
            <w:bottom w:val="none" w:sz="0" w:space="0" w:color="auto"/>
            <w:right w:val="none" w:sz="0" w:space="0" w:color="auto"/>
          </w:divBdr>
        </w:div>
        <w:div w:id="1864590795">
          <w:marLeft w:val="0"/>
          <w:marRight w:val="0"/>
          <w:marTop w:val="0"/>
          <w:marBottom w:val="0"/>
          <w:divBdr>
            <w:top w:val="none" w:sz="0" w:space="0" w:color="auto"/>
            <w:left w:val="none" w:sz="0" w:space="0" w:color="auto"/>
            <w:bottom w:val="none" w:sz="0" w:space="0" w:color="auto"/>
            <w:right w:val="none" w:sz="0" w:space="0" w:color="auto"/>
          </w:divBdr>
        </w:div>
        <w:div w:id="1358238708">
          <w:marLeft w:val="0"/>
          <w:marRight w:val="0"/>
          <w:marTop w:val="0"/>
          <w:marBottom w:val="0"/>
          <w:divBdr>
            <w:top w:val="none" w:sz="0" w:space="0" w:color="auto"/>
            <w:left w:val="none" w:sz="0" w:space="0" w:color="auto"/>
            <w:bottom w:val="none" w:sz="0" w:space="0" w:color="auto"/>
            <w:right w:val="none" w:sz="0" w:space="0" w:color="auto"/>
          </w:divBdr>
        </w:div>
        <w:div w:id="141193843">
          <w:marLeft w:val="0"/>
          <w:marRight w:val="0"/>
          <w:marTop w:val="0"/>
          <w:marBottom w:val="0"/>
          <w:divBdr>
            <w:top w:val="none" w:sz="0" w:space="0" w:color="auto"/>
            <w:left w:val="none" w:sz="0" w:space="0" w:color="auto"/>
            <w:bottom w:val="none" w:sz="0" w:space="0" w:color="auto"/>
            <w:right w:val="none" w:sz="0" w:space="0" w:color="auto"/>
          </w:divBdr>
        </w:div>
        <w:div w:id="1329941896">
          <w:marLeft w:val="0"/>
          <w:marRight w:val="0"/>
          <w:marTop w:val="0"/>
          <w:marBottom w:val="0"/>
          <w:divBdr>
            <w:top w:val="none" w:sz="0" w:space="0" w:color="auto"/>
            <w:left w:val="none" w:sz="0" w:space="0" w:color="auto"/>
            <w:bottom w:val="none" w:sz="0" w:space="0" w:color="auto"/>
            <w:right w:val="none" w:sz="0" w:space="0" w:color="auto"/>
          </w:divBdr>
        </w:div>
        <w:div w:id="1835564224">
          <w:marLeft w:val="0"/>
          <w:marRight w:val="0"/>
          <w:marTop w:val="0"/>
          <w:marBottom w:val="0"/>
          <w:divBdr>
            <w:top w:val="none" w:sz="0" w:space="0" w:color="auto"/>
            <w:left w:val="none" w:sz="0" w:space="0" w:color="auto"/>
            <w:bottom w:val="none" w:sz="0" w:space="0" w:color="auto"/>
            <w:right w:val="none" w:sz="0" w:space="0" w:color="auto"/>
          </w:divBdr>
        </w:div>
        <w:div w:id="143394845">
          <w:marLeft w:val="0"/>
          <w:marRight w:val="0"/>
          <w:marTop w:val="0"/>
          <w:marBottom w:val="0"/>
          <w:divBdr>
            <w:top w:val="none" w:sz="0" w:space="0" w:color="auto"/>
            <w:left w:val="none" w:sz="0" w:space="0" w:color="auto"/>
            <w:bottom w:val="none" w:sz="0" w:space="0" w:color="auto"/>
            <w:right w:val="none" w:sz="0" w:space="0" w:color="auto"/>
          </w:divBdr>
        </w:div>
        <w:div w:id="995572364">
          <w:marLeft w:val="0"/>
          <w:marRight w:val="0"/>
          <w:marTop w:val="0"/>
          <w:marBottom w:val="0"/>
          <w:divBdr>
            <w:top w:val="none" w:sz="0" w:space="0" w:color="auto"/>
            <w:left w:val="none" w:sz="0" w:space="0" w:color="auto"/>
            <w:bottom w:val="none" w:sz="0" w:space="0" w:color="auto"/>
            <w:right w:val="none" w:sz="0" w:space="0" w:color="auto"/>
          </w:divBdr>
        </w:div>
        <w:div w:id="559829156">
          <w:marLeft w:val="0"/>
          <w:marRight w:val="0"/>
          <w:marTop w:val="0"/>
          <w:marBottom w:val="0"/>
          <w:divBdr>
            <w:top w:val="none" w:sz="0" w:space="0" w:color="auto"/>
            <w:left w:val="none" w:sz="0" w:space="0" w:color="auto"/>
            <w:bottom w:val="none" w:sz="0" w:space="0" w:color="auto"/>
            <w:right w:val="none" w:sz="0" w:space="0" w:color="auto"/>
          </w:divBdr>
        </w:div>
        <w:div w:id="877277654">
          <w:marLeft w:val="0"/>
          <w:marRight w:val="0"/>
          <w:marTop w:val="0"/>
          <w:marBottom w:val="0"/>
          <w:divBdr>
            <w:top w:val="none" w:sz="0" w:space="0" w:color="auto"/>
            <w:left w:val="none" w:sz="0" w:space="0" w:color="auto"/>
            <w:bottom w:val="none" w:sz="0" w:space="0" w:color="auto"/>
            <w:right w:val="none" w:sz="0" w:space="0" w:color="auto"/>
          </w:divBdr>
        </w:div>
        <w:div w:id="1684282601">
          <w:marLeft w:val="0"/>
          <w:marRight w:val="0"/>
          <w:marTop w:val="0"/>
          <w:marBottom w:val="0"/>
          <w:divBdr>
            <w:top w:val="none" w:sz="0" w:space="0" w:color="auto"/>
            <w:left w:val="none" w:sz="0" w:space="0" w:color="auto"/>
            <w:bottom w:val="none" w:sz="0" w:space="0" w:color="auto"/>
            <w:right w:val="none" w:sz="0" w:space="0" w:color="auto"/>
          </w:divBdr>
        </w:div>
        <w:div w:id="343244018">
          <w:marLeft w:val="0"/>
          <w:marRight w:val="0"/>
          <w:marTop w:val="0"/>
          <w:marBottom w:val="0"/>
          <w:divBdr>
            <w:top w:val="none" w:sz="0" w:space="0" w:color="auto"/>
            <w:left w:val="none" w:sz="0" w:space="0" w:color="auto"/>
            <w:bottom w:val="none" w:sz="0" w:space="0" w:color="auto"/>
            <w:right w:val="none" w:sz="0" w:space="0" w:color="auto"/>
          </w:divBdr>
        </w:div>
        <w:div w:id="33501107">
          <w:marLeft w:val="0"/>
          <w:marRight w:val="0"/>
          <w:marTop w:val="0"/>
          <w:marBottom w:val="0"/>
          <w:divBdr>
            <w:top w:val="none" w:sz="0" w:space="0" w:color="auto"/>
            <w:left w:val="none" w:sz="0" w:space="0" w:color="auto"/>
            <w:bottom w:val="none" w:sz="0" w:space="0" w:color="auto"/>
            <w:right w:val="none" w:sz="0" w:space="0" w:color="auto"/>
          </w:divBdr>
        </w:div>
        <w:div w:id="19882434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EC800E4814A54B81EEF0E62ADCCE04" ma:contentTypeVersion="5" ma:contentTypeDescription="Create a new document." ma:contentTypeScope="" ma:versionID="f1970c17f69f14247b312e1e4bfa7b33">
  <xsd:schema xmlns:xsd="http://www.w3.org/2001/XMLSchema" xmlns:xs="http://www.w3.org/2001/XMLSchema" xmlns:p="http://schemas.microsoft.com/office/2006/metadata/properties" xmlns:ns2="726d3a3b-7c63-4ab6-8543-b9f2f3f14c9a" xmlns:ns3="8a8be105-d548-4472-96f2-cb8c00ac7924" targetNamespace="http://schemas.microsoft.com/office/2006/metadata/properties" ma:root="true" ma:fieldsID="67af2dadfcd160f3340ba911ec9704cc" ns2:_="" ns3:_="">
    <xsd:import namespace="726d3a3b-7c63-4ab6-8543-b9f2f3f14c9a"/>
    <xsd:import namespace="8a8be105-d548-4472-96f2-cb8c00ac79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d3a3b-7c63-4ab6-8543-b9f2f3f14c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8be105-d548-4472-96f2-cb8c00ac792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6EF42E-671B-465F-A9CF-67A31CBE0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d3a3b-7c63-4ab6-8543-b9f2f3f14c9a"/>
    <ds:schemaRef ds:uri="8a8be105-d548-4472-96f2-cb8c00ac7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7E610-2F78-45A1-9308-7FE1419AECCA}">
  <ds:schemaRefs>
    <ds:schemaRef ds:uri="http://schemas.microsoft.com/sharepoint/v3/contenttype/forms"/>
  </ds:schemaRefs>
</ds:datastoreItem>
</file>

<file path=customXml/itemProps3.xml><?xml version="1.0" encoding="utf-8"?>
<ds:datastoreItem xmlns:ds="http://schemas.openxmlformats.org/officeDocument/2006/customXml" ds:itemID="{3BF75CB6-D899-4A96-8949-A493AE4D10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1664</Words>
  <Characters>9486</Characters>
  <Application>Microsoft Office Word</Application>
  <DocSecurity>0</DocSecurity>
  <Lines>79</Lines>
  <Paragraphs>22</Paragraphs>
  <ScaleCrop>false</ScaleCrop>
  <Company/>
  <LinksUpToDate>false</LinksUpToDate>
  <CharactersWithSpaces>11128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SHORTT, Ollie</dc:creator>
  <cp:keywords/>
  <dc:description/>
  <cp:lastModifiedBy>DIXON, Ceri</cp:lastModifiedBy>
  <cp:revision>10</cp:revision>
  <dcterms:created xsi:type="dcterms:W3CDTF">2023-02-09T11:02:00Z</dcterms:created>
  <dcterms:modified xsi:type="dcterms:W3CDTF">2023-06-08T12:27:00Z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0x01010038EC800E4814A54B81EEF0E62ADCCE04</vt:lpwstr>
  </property>
  <property fmtid="{D5CDD505-2E9C-101B-9397-08002B2CF9AE}" pid="3" name="cf01b81f267a4ae7a066de4ca5a45f7c">
    <vt:lpwstr>Official|0884c477-2e62-47ea-b19c-5af6e91124c5</vt:lpwstr>
  </property>
  <property fmtid="{D5CDD505-2E9C-101B-9397-08002B2CF9AE}" pid="4" name="pd0bfabaa6cb47f7bff41b54a8405b46">
    <vt:lpwstr>DfE|cc08a6d4-dfde-4d0f-bd85-069ebcef80d5</vt:lpwstr>
  </property>
  <property fmtid="{D5CDD505-2E9C-101B-9397-08002B2CF9AE}" pid="5" name="afedf6f4583d4414b8b49f98bd7a4a38">
    <vt:lpwstr>DfE|a484111e-5b24-4ad9-9778-c536c8c88985</vt:lpwstr>
  </property>
  <property fmtid="{D5CDD505-2E9C-101B-9397-08002B2CF9AE}" pid="6" name="DfeOwner">
    <vt:lpwstr>2;#DfE|a484111e-5b24-4ad9-9778-c536c8c88985</vt:lpwstr>
  </property>
  <property fmtid="{D5CDD505-2E9C-101B-9397-08002B2CF9AE}" pid="7" name="_dlc_DocIdItemGuid">
    <vt:lpwstr>6d700c4e-d756-4dc2-8714-04552d1ebf4a</vt:lpwstr>
  </property>
  <property fmtid="{D5CDD505-2E9C-101B-9397-08002B2CF9AE}" pid="8" name="DfeOrganisationalUnit">
    <vt:lpwstr>1;#DfE|cc08a6d4-dfde-4d0f-bd85-069ebcef80d5</vt:lpwstr>
  </property>
  <property fmtid="{D5CDD505-2E9C-101B-9397-08002B2CF9AE}" pid="9" name="DfeRights:ProtectiveMarking">
    <vt:lpwstr>3;#Official|0884c477-2e62-47ea-b19c-5af6e91124c5</vt:lpwstr>
  </property>
  <property fmtid="{D5CDD505-2E9C-101B-9397-08002B2CF9AE}" pid="10" name="cbd89a3d90af4054933af136d81ae271">
    <vt:lpwstr/>
  </property>
  <property fmtid="{D5CDD505-2E9C-101B-9397-08002B2CF9AE}" pid="11" name="Rights:ProtectiveMarking">
    <vt:lpwstr>3;#Official|0884c477-2e62-47ea-b19c-5af6e91124c5</vt:lpwstr>
  </property>
  <property fmtid="{D5CDD505-2E9C-101B-9397-08002B2CF9AE}" pid="12" name="c0e8f78731f34305bd83ee7a944e5d31">
    <vt:lpwstr/>
  </property>
  <property fmtid="{D5CDD505-2E9C-101B-9397-08002B2CF9AE}" pid="13" name="Subject1">
    <vt:lpwstr/>
  </property>
  <property fmtid="{D5CDD505-2E9C-101B-9397-08002B2CF9AE}" pid="14" name="Function">
    <vt:lpwstr/>
  </property>
  <property fmtid="{D5CDD505-2E9C-101B-9397-08002B2CF9AE}" pid="15" name="SiteType">
    <vt:lpwstr/>
  </property>
  <property fmtid="{D5CDD505-2E9C-101B-9397-08002B2CF9AE}" pid="16" name="OrganisationalUnit">
    <vt:lpwstr>1;#DfE|cc08a6d4-dfde-4d0f-bd85-069ebcef80d5</vt:lpwstr>
  </property>
  <property fmtid="{D5CDD505-2E9C-101B-9397-08002B2CF9AE}" pid="17" name="Owner">
    <vt:lpwstr>2;#DfE|a484111e-5b24-4ad9-9778-c536c8c88985</vt:lpwstr>
  </property>
  <property fmtid="{D5CDD505-2E9C-101B-9397-08002B2CF9AE}" pid="18" name="e001803101cc486883c488742a9b195f">
    <vt:lpwstr/>
  </property>
  <property fmtid="{D5CDD505-2E9C-101B-9397-08002B2CF9AE}" pid="19" name="DfeSubject">
    <vt:lpwstr/>
  </property>
  <property fmtid="{D5CDD505-2E9C-101B-9397-08002B2CF9AE}" pid="20" name="MediaServiceImageTags">
    <vt:lpwstr/>
  </property>
  <property fmtid="{D5CDD505-2E9C-101B-9397-08002B2CF9AE}" pid="21" name="lcf76f155ced4ddcb4097134ff3c332f">
    <vt:lpwstr/>
  </property>
  <property fmtid="{D5CDD505-2E9C-101B-9397-08002B2CF9AE}" pid="22" name="Order">
    <vt:r8>7301300</vt:r8>
  </property>
  <property fmtid="{D5CDD505-2E9C-101B-9397-08002B2CF9AE}" pid="23" name="xd_Signature">
    <vt:bool>false</vt:bool>
  </property>
  <property fmtid="{D5CDD505-2E9C-101B-9397-08002B2CF9AE}" pid="24" name="xd_ProgID">
    <vt:lpwstr/>
  </property>
  <property fmtid="{D5CDD505-2E9C-101B-9397-08002B2CF9AE}" pid="25" name="TriggerFlowInfo">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GrammarlyDocumentId">
    <vt:lpwstr>486d807ec558fe9cd592680d5770b882e3d4f7faebe957c5597bf163386c9840</vt:lpwstr>
  </property>
</Properties>
</file>